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B0" w:rsidRDefault="00215CB0" w:rsidP="00D66B1F">
      <w:pPr>
        <w:spacing w:after="100" w:afterAutospacing="1" w:line="240" w:lineRule="auto"/>
        <w:jc w:val="center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Меры поддержки</w:t>
      </w:r>
      <w:r w:rsidR="00D66B1F"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 xml:space="preserve"> субъектов малого и среднего предпринимательства</w:t>
      </w:r>
    </w:p>
    <w:p w:rsidR="00D66B1F" w:rsidRDefault="00D66B1F" w:rsidP="00D66B1F">
      <w:pPr>
        <w:spacing w:after="100" w:afterAutospacing="1" w:line="240" w:lineRule="auto"/>
        <w:jc w:val="center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</w:pPr>
    </w:p>
    <w:p w:rsidR="00E2247F" w:rsidRPr="00E2247F" w:rsidRDefault="00D66B1F" w:rsidP="00D66B1F">
      <w:pPr>
        <w:spacing w:after="100" w:afterAutospacing="1" w:line="240" w:lineRule="auto"/>
        <w:jc w:val="center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Ф</w:t>
      </w:r>
      <w:r w:rsidR="00E2247F" w:rsidRPr="00E2247F"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едеральные меры поддержки малого бизнеса</w:t>
      </w:r>
    </w:p>
    <w:p w:rsidR="00D66B1F" w:rsidRDefault="00D66B1F" w:rsidP="00D66B1F">
      <w:pPr>
        <w:spacing w:after="0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       </w:t>
      </w:r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Предприниматели могут получать выплаты от государства или брать кредиты по льготным ставкам. Вот основные федеральные программы поддержки, которые действуют в 2025 году.</w:t>
      </w:r>
    </w:p>
    <w:p w:rsidR="00D66B1F" w:rsidRDefault="00E2247F" w:rsidP="00D66B1F">
      <w:pPr>
        <w:spacing w:after="0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Социальный контракт</w:t>
      </w:r>
      <w:r w:rsidR="00D66B1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 </w:t>
      </w:r>
    </w:p>
    <w:p w:rsidR="00E2247F" w:rsidRDefault="00E2247F" w:rsidP="00D66B1F">
      <w:pPr>
        <w:spacing w:after="0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Социальный контракт — </w:t>
      </w:r>
      <w:proofErr w:type="spellStart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единоразовая</w:t>
      </w:r>
      <w:proofErr w:type="spellEnd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выплата малоимущим гражданам, которую они могут потратить на оплату обучения, организацию подсобного хозяйства или открытие своего бизнеса. На открытие бизнеса выделяют до 350 тысяч рублей.</w:t>
      </w:r>
      <w:r w:rsidR="00D66B1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Соцконтракт</w:t>
      </w:r>
      <w:proofErr w:type="spellEnd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могут заключить только граждане, доход которых не превышает прожиточный минимум, утверждённый в регионе проживания. Заключить </w:t>
      </w:r>
      <w:proofErr w:type="spellStart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соцконтракт</w:t>
      </w:r>
      <w:proofErr w:type="spellEnd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можно в любом городе России. Для этого нужно подать заявку через ближайший МФЦ, центр «Мой бизнес» или органы соцзащиты. Пакет документов, который нужно приложить к заявке, зависит от целей контракта.</w:t>
      </w:r>
      <w:r w:rsidR="00D66B1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</w:t>
      </w: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На предпринимательскую деятельность можно получить 350 тысяч рублей. Расходовать эти деньги разрешено, например, на аренду помещения для бизнеса, покупку материалов или оборудования. До или сразу после одобрения заявки нужно оформить статус </w:t>
      </w:r>
      <w:proofErr w:type="spellStart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самозанятого</w:t>
      </w:r>
      <w:proofErr w:type="spellEnd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или ИП.</w:t>
      </w:r>
    </w:p>
    <w:p w:rsidR="00D66B1F" w:rsidRPr="00E2247F" w:rsidRDefault="00D66B1F" w:rsidP="00D66B1F">
      <w:pPr>
        <w:spacing w:after="0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</w:p>
    <w:p w:rsidR="00E2247F" w:rsidRPr="00E2247F" w:rsidRDefault="00E2247F" w:rsidP="00D66B1F">
      <w:pPr>
        <w:spacing w:after="195" w:line="240" w:lineRule="auto"/>
        <w:jc w:val="both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E2247F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Льготное кредитование по программе «1764»</w:t>
      </w:r>
    </w:p>
    <w:p w:rsidR="00E2247F" w:rsidRDefault="00E2247F" w:rsidP="00D66B1F">
      <w:pPr>
        <w:spacing w:after="0" w:afterAutospacing="1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«1764» — </w:t>
      </w:r>
      <w:hyperlink r:id="rId5" w:tgtFrame="_blank" w:history="1">
        <w:r w:rsidRPr="00D66B1F">
          <w:rPr>
            <w:rFonts w:ascii="stk" w:eastAsia="Times New Roman" w:hAnsi="stk" w:cs="Times New Roman"/>
            <w:color w:val="0000FF"/>
            <w:sz w:val="26"/>
            <w:szCs w:val="26"/>
            <w:bdr w:val="none" w:sz="0" w:space="0" w:color="auto" w:frame="1"/>
            <w:lang w:eastAsia="ru-RU"/>
          </w:rPr>
          <w:t>программа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Министерства экономического развития РФ и Центробанка РФ, в рамках которой предприниматели могут получить кредиты по льготной ставке. Полученные деньги можно потратить на развитие бизнеса, пополнение оборотных средств, инвестиции или рефинансирование существующих кредитов.</w:t>
      </w:r>
      <w:r w:rsidR="00D66B1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</w:t>
      </w: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Ставку кредита рассчитывают по формуле: ключевая ставка ЦБ + не более 2,75 или 3,5 процентных пункта. Итоговая ставка и сумма, которую можно взять, зависят от цели кредита и размера предприятия. Например, на пополнение оборотных средств малое предприятие может взять от 500 тысяч до 500 миллионов рублей по ставке «ключевая ставка ЦБ + 2,75 процентных пункта». Кредит предоставляется в одном из 96 банков-партнёров — их список есть на сайте программы.</w:t>
      </w:r>
      <w:r w:rsidR="00D66B1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</w:t>
      </w: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На льготный кредит могут претендовать предприниматели, которые работают в розничной и оптовой торговле, сельском хозяйстве, внутреннем туризме, здравоохранении, образовании, обрабатывающей промышленности, ресторанном бизнесе, в области науки и техники или бытовых услуг. Бизнес должен быть зарегистрирован с соответствующим кодом </w:t>
      </w:r>
      <w:r w:rsidRPr="00E2247F">
        <w:rPr>
          <w:rFonts w:ascii="stk" w:eastAsia="Times New Roman" w:hAnsi="stk" w:cs="Times New Roman"/>
          <w:color w:val="000000"/>
          <w:sz w:val="26"/>
          <w:szCs w:val="26"/>
          <w:bdr w:val="none" w:sz="0" w:space="0" w:color="auto" w:frame="1"/>
          <w:lang w:eastAsia="ru-RU"/>
        </w:rPr>
        <w:t>ОКВЭД</w:t>
      </w: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— при этом код может быть указан и как основной, и как дополнительный.</w:t>
      </w:r>
    </w:p>
    <w:p w:rsidR="00E2247F" w:rsidRPr="00E2247F" w:rsidRDefault="00D66B1F" w:rsidP="00D66B1F">
      <w:pPr>
        <w:spacing w:after="100" w:afterAutospacing="1" w:line="240" w:lineRule="auto"/>
        <w:jc w:val="center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Р</w:t>
      </w:r>
      <w:r w:rsidR="00E2247F" w:rsidRPr="00E2247F"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егиональные меры поддержки малого бизнеса</w:t>
      </w:r>
    </w:p>
    <w:p w:rsidR="00E2247F" w:rsidRPr="00E2247F" w:rsidRDefault="00E2247F" w:rsidP="00D66B1F">
      <w:pPr>
        <w:spacing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Большинство регионов поддерживают местных предпринимателей с помощью субсидий и грантов. Информация о них размещена на сайтах местных правительств или министерств</w:t>
      </w:r>
    </w:p>
    <w:p w:rsidR="00E2247F" w:rsidRPr="00E2247F" w:rsidRDefault="00E2247F" w:rsidP="00D66B1F">
      <w:pPr>
        <w:shd w:val="clear" w:color="auto" w:fill="FEF5E0"/>
        <w:spacing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lastRenderedPageBreak/>
        <w:t>Актуальную информацию о субсидиях в своём регионе можно получить в местных отделениях центров «Мой бизнес» — там же можно проконсультироваться насчёт того, как получить эти субсидии. Адреса центров по всей России есть на </w:t>
      </w:r>
      <w:hyperlink r:id="rId6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главном сайте центра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</w:t>
      </w:r>
    </w:p>
    <w:p w:rsidR="00E2247F" w:rsidRPr="00E2247F" w:rsidRDefault="00E2247F" w:rsidP="00D66B1F">
      <w:pPr>
        <w:spacing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Также есть программы, которые реализуют сразу в нескольких регионах, — например, </w:t>
      </w:r>
      <w:hyperlink r:id="rId7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грант для молодых предпринимателей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действует во всех регионах, кроме Москвы.</w:t>
      </w:r>
    </w:p>
    <w:p w:rsidR="00E2247F" w:rsidRPr="00E2247F" w:rsidRDefault="00E2247F" w:rsidP="00D66B1F">
      <w:pPr>
        <w:spacing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Этот грант на открытие своего дела могут получить граждане в возрасте до 25 лет. Размер гранта — от 100 тысяч до 1 миллиона рублей. Претенденту потребуется не только заполнить заявку, но и пройти одну из программ обучения предпринимательской деятельности в центре «Мой бизнес», а также финансировать не менее 25% стоимости проекта из своих средств.</w:t>
      </w:r>
    </w:p>
    <w:p w:rsidR="00E2247F" w:rsidRPr="00E2247F" w:rsidRDefault="00D66B1F" w:rsidP="00E2247F">
      <w:pPr>
        <w:spacing w:after="100" w:afterAutospacing="1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П</w:t>
      </w:r>
      <w:r w:rsidR="00E2247F" w:rsidRPr="00E2247F"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рограммы поддержки субъектов в разных отраслях бизнеса</w:t>
      </w:r>
    </w:p>
    <w:p w:rsidR="00E2247F" w:rsidRPr="00E2247F" w:rsidRDefault="00E2247F" w:rsidP="00D66B1F">
      <w:pPr>
        <w:spacing w:after="0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Кроме перечисленных выше, есть много целевых мер поддержки для отдельных областей — например, для сельского хозяйства, IT, туризма и так далее. Много таких программ можно найти </w:t>
      </w:r>
      <w:hyperlink r:id="rId8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на Портале предоставления мер финансовой государственной поддержки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 Здесь мы расскажем о некоторых из них.</w:t>
      </w:r>
    </w:p>
    <w:p w:rsidR="00E2247F" w:rsidRPr="00E2247F" w:rsidRDefault="00E2247F" w:rsidP="00D66B1F">
      <w:pPr>
        <w:spacing w:after="195" w:line="240" w:lineRule="auto"/>
        <w:jc w:val="both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E2247F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Гранты для социальных предпринимателей</w:t>
      </w:r>
    </w:p>
    <w:p w:rsidR="00E2247F" w:rsidRPr="00E2247F" w:rsidRDefault="00E2247F" w:rsidP="00D66B1F">
      <w:pPr>
        <w:spacing w:after="0" w:afterAutospacing="1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Грант выдают компаниям или ИП, которые зарегистрированы в </w:t>
      </w:r>
      <w:hyperlink r:id="rId9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Едином реестре МСП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 как социальные предприятия. К ним относят предприятия, которые нанимают работников из социально уязвимых групп, производят товары для них или занимаются общественно полезной деятельностью, </w:t>
      </w:r>
      <w:proofErr w:type="gramStart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например</w:t>
      </w:r>
      <w:proofErr w:type="gramEnd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образовательной, культурно-просветительской. Требования к социальным предприятиям описаны </w:t>
      </w:r>
      <w:hyperlink r:id="rId10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в Федеральном законе от 24.07.2007 №209-ФЗ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</w:t>
      </w:r>
    </w:p>
    <w:p w:rsidR="00E2247F" w:rsidRPr="00E2247F" w:rsidRDefault="00E2247F" w:rsidP="00D66B1F">
      <w:pPr>
        <w:spacing w:after="0" w:afterAutospacing="1"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Сумма </w:t>
      </w:r>
      <w:hyperlink r:id="rId11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гранта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может составлять от 100 до 500 тысяч рублей, в Арктической зоне — до 1 миллиона рублей. Получить список документов и подать заявку можно в местных центрах «Мой бизнес».</w:t>
      </w:r>
    </w:p>
    <w:p w:rsidR="00E2247F" w:rsidRPr="00E2247F" w:rsidRDefault="00E2247F" w:rsidP="00D66B1F">
      <w:pPr>
        <w:spacing w:after="195" w:line="240" w:lineRule="auto"/>
        <w:jc w:val="both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E2247F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Субсидии для туристического бизнеса</w:t>
      </w:r>
    </w:p>
    <w:p w:rsidR="00E2247F" w:rsidRPr="00E2247F" w:rsidRDefault="00E2247F" w:rsidP="00D66B1F">
      <w:pPr>
        <w:spacing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В рамках национального проекта «Туризм и гостеприимство» предприниматели, которые хотят построить и открыть кемпинг, </w:t>
      </w:r>
      <w:proofErr w:type="spellStart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глэмпинг</w:t>
      </w:r>
      <w:proofErr w:type="spellEnd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 или модульную гостиницу, могут получить </w:t>
      </w:r>
      <w:hyperlink r:id="rId12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единую субсидию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 Потратить средства можно на благоустройство пляжей или туристических маршрутов, проведение мероприятий или приобретение оборудования.</w:t>
      </w:r>
    </w:p>
    <w:p w:rsidR="00E2247F" w:rsidRPr="00E2247F" w:rsidRDefault="00E2247F" w:rsidP="00D66B1F">
      <w:pPr>
        <w:spacing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Суммы субсидий администрация региона рассчитывает индивидуально для каждого проекта — информацию об этом можно получить в администрации вашего города или региона. Предприниматель должен вложить в проект </w:t>
      </w:r>
      <w:hyperlink r:id="rId13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не менее 50% личных средств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</w:t>
      </w:r>
    </w:p>
    <w:p w:rsidR="00E2247F" w:rsidRPr="00E2247F" w:rsidRDefault="00E2247F" w:rsidP="00D66B1F">
      <w:pPr>
        <w:spacing w:line="240" w:lineRule="auto"/>
        <w:jc w:val="both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Ещё в рамках этого же проекта выдают субсидии на строительство модульных гостиниц и </w:t>
      </w:r>
      <w:proofErr w:type="spellStart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глэмпингов</w:t>
      </w:r>
      <w:proofErr w:type="spellEnd"/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 Заявку на получение субсидии нужно подать до 1 апреля 2025 года включительно. Перечень документов и форма заявки опубликованы </w:t>
      </w:r>
      <w:hyperlink r:id="rId14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на сайте Министерства экономического развития РФ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</w:t>
      </w:r>
    </w:p>
    <w:p w:rsidR="00E2247F" w:rsidRPr="00E2247F" w:rsidRDefault="00E2247F" w:rsidP="00E2247F">
      <w:pPr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E2247F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Гранты для сельскохозяйственного бизнеса</w:t>
      </w:r>
    </w:p>
    <w:p w:rsidR="00E2247F" w:rsidRPr="00E2247F" w:rsidRDefault="00E2247F" w:rsidP="00E2247F">
      <w:pPr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Предприниматели, которые занимаются сельским хозяйством, в 2025 году могут получить много разных субсидий и грантов. Вот некоторые из них.</w:t>
      </w:r>
    </w:p>
    <w:p w:rsidR="00E2247F" w:rsidRPr="00E2247F" w:rsidRDefault="00785D35" w:rsidP="00E2247F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hyperlink r:id="rId15" w:tgtFrame="_blank" w:history="1"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>Грант «</w:t>
        </w:r>
        <w:proofErr w:type="spellStart"/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>Агростартап</w:t>
        </w:r>
        <w:proofErr w:type="spellEnd"/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>»</w:t>
        </w:r>
      </w:hyperlink>
      <w:r w:rsidR="00E2247F" w:rsidRPr="00E2247F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 </w:t>
      </w:r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Выдаётся крестьянским фермерским хозяйствам (КФХ) и ИП — главам КФХ на развитие предприятия. В рамках программы можно получить от 3 до 8 миллионов рублей — сумма зависит от сферы деятельности. При этом грант не должен покрывать более 90% затрат на развитие бизнеса.</w:t>
      </w:r>
    </w:p>
    <w:p w:rsidR="00E2247F" w:rsidRPr="00E2247F" w:rsidRDefault="00785D35" w:rsidP="00E2247F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hyperlink r:id="rId16" w:tgtFrame="_blank" w:history="1"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>Грант «</w:t>
        </w:r>
        <w:proofErr w:type="spellStart"/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>Агромотиватор</w:t>
        </w:r>
        <w:proofErr w:type="spellEnd"/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>»</w:t>
        </w:r>
      </w:hyperlink>
      <w:r w:rsidR="00E2247F" w:rsidRPr="00E2247F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Его могут получить ветераны СВО, которые хотят открыть бизнес в сфере сельского хозяйства и заниматься, например, разведением крупного рогатого скота. Сумма выплаты может достигать 7 миллионов рублей. Программа действует </w:t>
      </w:r>
      <w:hyperlink r:id="rId17" w:tgtFrame="_blank" w:history="1">
        <w:r w:rsidR="00E2247F"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в 19 регионах</w:t>
        </w:r>
      </w:hyperlink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 Заявку на участие нужно подавать в региональные органы агропромышленного комплекса.</w:t>
      </w:r>
    </w:p>
    <w:p w:rsidR="00E2247F" w:rsidRPr="00E2247F" w:rsidRDefault="00785D35" w:rsidP="00E2247F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hyperlink r:id="rId18" w:tgtFrame="_blank" w:history="1"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 xml:space="preserve">Субсидии для </w:t>
        </w:r>
        <w:proofErr w:type="spellStart"/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>самозанятых</w:t>
        </w:r>
        <w:proofErr w:type="spellEnd"/>
      </w:hyperlink>
      <w:r w:rsidR="00E2247F" w:rsidRPr="00E2247F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 xml:space="preserve"> Владельцы личных подсобных хозяйств, зарегистрированные как </w:t>
      </w:r>
      <w:proofErr w:type="spellStart"/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самозанятые</w:t>
      </w:r>
      <w:proofErr w:type="spellEnd"/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, могут получить возмещение расходов на производство продукции — например, мяса, молока, овощей. Размер выплаты зависит от объёма продукции. Подать заявку можно через администрацию области или района.</w:t>
      </w:r>
    </w:p>
    <w:p w:rsidR="00E2247F" w:rsidRPr="00E2247F" w:rsidRDefault="00785D35" w:rsidP="00E2247F">
      <w:pPr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hyperlink r:id="rId19" w:tgtFrame="_blank" w:history="1">
        <w:r w:rsidR="00E2247F" w:rsidRPr="00E2247F">
          <w:rPr>
            <w:rFonts w:ascii="stk" w:eastAsia="Times New Roman" w:hAnsi="stk" w:cs="Times New Roman"/>
            <w:b/>
            <w:bCs/>
            <w:color w:val="0000FF"/>
            <w:sz w:val="26"/>
            <w:szCs w:val="26"/>
            <w:bdr w:val="none" w:sz="0" w:space="0" w:color="auto" w:frame="1"/>
            <w:lang w:eastAsia="ru-RU"/>
          </w:rPr>
          <w:t>Программы Министерства сельского хозяйства</w:t>
        </w:r>
      </w:hyperlink>
      <w:r w:rsidR="00E2247F" w:rsidRPr="00E2247F">
        <w:rPr>
          <w:rFonts w:ascii="stk" w:eastAsia="Times New Roman" w:hAnsi="stk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По ним предприниматели могут получить, например, </w:t>
      </w:r>
      <w:hyperlink r:id="rId20" w:tgtFrame="_blank" w:history="1">
        <w:r w:rsidR="00E2247F"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кредит</w:t>
        </w:r>
      </w:hyperlink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по льготной ставке не более 5% на приобретение сельхозтехники, </w:t>
      </w:r>
      <w:hyperlink r:id="rId21" w:tgtFrame="_blank" w:history="1">
        <w:r w:rsidR="00E2247F"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льготный лизинг</w:t>
        </w:r>
      </w:hyperlink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, а также частично </w:t>
      </w:r>
      <w:hyperlink r:id="rId22" w:tgtFrame="_blank" w:history="1">
        <w:r w:rsidR="00E2247F"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компенсировать расходы</w:t>
        </w:r>
      </w:hyperlink>
      <w:r w:rsidR="00E2247F"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на закупку семян.</w:t>
      </w:r>
    </w:p>
    <w:p w:rsidR="00E2247F" w:rsidRPr="00E2247F" w:rsidRDefault="00E2247F" w:rsidP="00E2247F">
      <w:pPr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E2247F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Гранты научно-техническим предприятиям</w:t>
      </w:r>
    </w:p>
    <w:p w:rsidR="00E2247F" w:rsidRPr="00E2247F" w:rsidRDefault="00E2247F" w:rsidP="00E2247F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У Фонда содействия инновациям есть несколько программ </w:t>
      </w:r>
      <w:hyperlink r:id="rId23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финансовой поддержки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 для научно-технических предприятий. Среди них программы для молодых специалистов и школьников, которые хотят открыть своё дело.</w:t>
      </w:r>
    </w:p>
    <w:p w:rsidR="00E2247F" w:rsidRPr="00E2247F" w:rsidRDefault="00E2247F" w:rsidP="00E2247F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У каждой программы свои требования к участникам, которые могут подать заявку. Например, по программе «</w:t>
      </w:r>
      <w:hyperlink r:id="rId24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Старт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» грант могут получить физические и юридические лица, разрабатывающие собственный продукт. Размер выплаты может достигать 12 миллионов рублей. Нужно использовать эти деньги на исследовательскую и научно-конструкторскую деятельность, а затем защитить проект.</w:t>
      </w:r>
    </w:p>
    <w:p w:rsidR="00E2247F" w:rsidRPr="00E2247F" w:rsidRDefault="00E2247F" w:rsidP="00E2247F">
      <w:pPr>
        <w:shd w:val="clear" w:color="auto" w:fill="FEF5E0"/>
        <w:spacing w:line="240" w:lineRule="auto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Проконсультироваться по поводу подачи заявки можно </w:t>
      </w:r>
      <w:hyperlink r:id="rId25" w:tgtFrame="_blank" w:history="1">
        <w:r w:rsidRPr="00E2247F">
          <w:rPr>
            <w:rFonts w:ascii="stk" w:eastAsia="Times New Roman" w:hAnsi="stk" w:cs="Times New Roman"/>
            <w:color w:val="0000FF"/>
            <w:sz w:val="26"/>
            <w:szCs w:val="26"/>
            <w:u w:val="single"/>
            <w:bdr w:val="none" w:sz="0" w:space="0" w:color="auto" w:frame="1"/>
            <w:lang w:eastAsia="ru-RU"/>
          </w:rPr>
          <w:t>с сотрудниками Фонда содействия инновациям</w:t>
        </w:r>
      </w:hyperlink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</w:t>
      </w:r>
    </w:p>
    <w:p w:rsidR="00E2247F" w:rsidRPr="00E2247F" w:rsidRDefault="00E2247F" w:rsidP="00215CB0">
      <w:pPr>
        <w:spacing w:after="0" w:afterAutospacing="1" w:line="240" w:lineRule="auto"/>
        <w:ind w:left="312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E2247F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.</w:t>
      </w:r>
    </w:p>
    <w:p w:rsidR="00E2247F" w:rsidRPr="00492A63" w:rsidRDefault="00E2247F">
      <w:pPr>
        <w:rPr>
          <w:u w:val="single"/>
        </w:rPr>
      </w:pPr>
    </w:p>
    <w:sectPr w:rsidR="00E2247F" w:rsidRPr="00492A63" w:rsidSect="00C421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87E49"/>
    <w:multiLevelType w:val="multilevel"/>
    <w:tmpl w:val="FB60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A0"/>
    <w:rsid w:val="00102DA0"/>
    <w:rsid w:val="00215CB0"/>
    <w:rsid w:val="00492A63"/>
    <w:rsid w:val="00785D35"/>
    <w:rsid w:val="00BF1F9F"/>
    <w:rsid w:val="00C42112"/>
    <w:rsid w:val="00D66B1F"/>
    <w:rsid w:val="00DE1216"/>
    <w:rsid w:val="00E2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047BB-CF38-411D-8752-3F9EE0AA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A63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E22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2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4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E2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15">
    <w:name w:val="stk-theme_26309__mb_15"/>
    <w:basedOn w:val="a"/>
    <w:rsid w:val="00E2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247F"/>
    <w:rPr>
      <w:color w:val="0000FF"/>
      <w:u w:val="single"/>
    </w:rPr>
  </w:style>
  <w:style w:type="character" w:customStyle="1" w:styleId="stk-reset1">
    <w:name w:val="stk-reset1"/>
    <w:basedOn w:val="a0"/>
    <w:rsid w:val="00E2247F"/>
  </w:style>
  <w:style w:type="character" w:styleId="a4">
    <w:name w:val="Strong"/>
    <w:basedOn w:val="a0"/>
    <w:uiPriority w:val="22"/>
    <w:qFormat/>
    <w:rsid w:val="00E2247F"/>
    <w:rPr>
      <w:b/>
      <w:bCs/>
    </w:rPr>
  </w:style>
  <w:style w:type="character" w:styleId="a5">
    <w:name w:val="Emphasis"/>
    <w:basedOn w:val="a0"/>
    <w:uiPriority w:val="20"/>
    <w:qFormat/>
    <w:rsid w:val="00E224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3531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3690">
                  <w:marLeft w:val="0"/>
                  <w:marRight w:val="0"/>
                  <w:marTop w:val="0"/>
                  <w:marBottom w:val="585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062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182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8905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0914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1127">
                  <w:marLeft w:val="0"/>
                  <w:marRight w:val="0"/>
                  <w:marTop w:val="0"/>
                  <w:marBottom w:val="585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21265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2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0840">
                  <w:marLeft w:val="0"/>
                  <w:marRight w:val="0"/>
                  <w:marTop w:val="0"/>
                  <w:marBottom w:val="585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8994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88018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13" Type="http://schemas.openxmlformats.org/officeDocument/2006/relationships/hyperlink" Target="https://base.garant.ru/407659402/" TargetMode="External"/><Relationship Id="rId18" Type="http://schemas.openxmlformats.org/officeDocument/2006/relationships/hyperlink" Target="https://docs.cntd.ru/document/1304211578?marker=6560IO&amp;section=tex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cx.gov.ru/docs/35013/" TargetMode="External"/><Relationship Id="rId7" Type="http://schemas.openxmlformats.org/officeDocument/2006/relationships/hyperlink" Target="https://xn--25-9kcqjffxnf3b.xn--p1ai/get_supports/grantovaya-podderzhka-dlya-molodykh-predprinimateley/" TargetMode="External"/><Relationship Id="rId12" Type="http://schemas.openxmlformats.org/officeDocument/2006/relationships/hyperlink" Target="https://xn--80aapampemcchfmo7a3c9ehj.xn--p1ai/new-opportunities/edinaya-subsidiya-subektam-rossiyskoy-federatsii/" TargetMode="External"/><Relationship Id="rId17" Type="http://schemas.openxmlformats.org/officeDocument/2006/relationships/hyperlink" Target="https://corpmsp.ru/about/press/news/novosti-msp/grant-agromotivator-/" TargetMode="External"/><Relationship Id="rId25" Type="http://schemas.openxmlformats.org/officeDocument/2006/relationships/hyperlink" Target="https://www.fasie.ru/contac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vernment.ru/docs/53946/" TargetMode="External"/><Relationship Id="rId20" Type="http://schemas.openxmlformats.org/officeDocument/2006/relationships/hyperlink" Target="https://mcx.gov.ru/activity/state-support/measures/preferential-credi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90aifddrld7a.xn--p1ai/centers/" TargetMode="External"/><Relationship Id="rId11" Type="http://schemas.openxmlformats.org/officeDocument/2006/relationships/hyperlink" Target="https://xn--25-9kcqjffxnf3b.xn--p1ai/get_supports/grantovaya-podderzhka-dlya-sotsialnykh-meropriyatiy/" TargetMode="External"/><Relationship Id="rId24" Type="http://schemas.openxmlformats.org/officeDocument/2006/relationships/hyperlink" Target="https://www.fasie.ru/programs/programma-start/" TargetMode="External"/><Relationship Id="rId5" Type="http://schemas.openxmlformats.org/officeDocument/2006/relationships/hyperlink" Target="https://invest.economy.gov.ru/programma-lgotnogo-kreditovaniya-subektov-msp-programma-1764-/main" TargetMode="External"/><Relationship Id="rId15" Type="http://schemas.openxmlformats.org/officeDocument/2006/relationships/hyperlink" Target="https://xn--90aifddrld7a.xn--p1ai/support/grant-agrostartap/" TargetMode="External"/><Relationship Id="rId23" Type="http://schemas.openxmlformats.org/officeDocument/2006/relationships/hyperlink" Target="https://www.fasie.ru/programs/" TargetMode="External"/><Relationship Id="rId10" Type="http://schemas.openxmlformats.org/officeDocument/2006/relationships/hyperlink" Target="https://www.consultant.ru/document/cons_doc_LAW_52144/6bed0cbbebe3fbadde4ef8d6aea6c8ff7ff383ce/" TargetMode="External"/><Relationship Id="rId19" Type="http://schemas.openxmlformats.org/officeDocument/2006/relationships/hyperlink" Target="https://mcx.gov.ru/activity/state-support/meas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sp.nalog.ru/" TargetMode="External"/><Relationship Id="rId14" Type="http://schemas.openxmlformats.org/officeDocument/2006/relationships/hyperlink" Target="https://www.economy.gov.ru/material/directions/turizm/minekonomrazvitiya_rossii_prodlevaet_konkursnyy_otbor_investicionnyh_proektov_po_sozdaniyu_modulnyh_nekapitalnyh_sredstv_razmeshcheniya_na_period_2025_2027_godov.html" TargetMode="External"/><Relationship Id="rId22" Type="http://schemas.openxmlformats.org/officeDocument/2006/relationships/hyperlink" Target="https://mcx.gov.ru/docs/69759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2025-09-05T08:55:00Z</dcterms:created>
  <dcterms:modified xsi:type="dcterms:W3CDTF">2025-09-05T09:07:00Z</dcterms:modified>
</cp:coreProperties>
</file>