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71" w:line="240" w:lineRule="auto"/>
        <w:ind/>
        <w:jc w:val="center"/>
        <w:outlineLvl w:val="1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 xml:space="preserve">ПАМЯТКА </w:t>
      </w:r>
    </w:p>
    <w:p w14:paraId="02000000">
      <w:pPr>
        <w:widowControl w:val="1"/>
        <w:spacing w:after="0" w:before="171" w:line="240" w:lineRule="auto"/>
        <w:ind/>
        <w:jc w:val="center"/>
        <w:outlineLvl w:val="1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гражданам по правилам поведения в условиях возникновения террористической опасности</w:t>
      </w:r>
      <w:r>
        <w:rPr>
          <w:rFonts w:ascii="Times New Roman" w:hAnsi="Times New Roman"/>
          <w:b w:val="1"/>
          <w:color w:val="333333"/>
          <w:sz w:val="28"/>
        </w:rPr>
        <w:t>.</w:t>
      </w:r>
      <w:r>
        <w:rPr>
          <w:rFonts w:ascii="Times New Roman" w:hAnsi="Times New Roman"/>
          <w:b w:val="1"/>
          <w:color w:val="333333"/>
          <w:sz w:val="28"/>
        </w:rPr>
        <w:t xml:space="preserve"> Возможные признаки подготовки к совершению террористических актов</w:t>
      </w:r>
    </w:p>
    <w:p w14:paraId="03000000">
      <w:pPr>
        <w:widowControl w:val="1"/>
        <w:spacing w:after="0" w:before="171" w:line="240" w:lineRule="auto"/>
        <w:ind/>
        <w:jc w:val="center"/>
        <w:outlineLvl w:val="1"/>
        <w:rPr>
          <w:rFonts w:ascii="Times New Roman" w:hAnsi="Times New Roman"/>
          <w:b w:val="1"/>
          <w:color w:val="333333"/>
          <w:sz w:val="28"/>
        </w:rPr>
      </w:pPr>
    </w:p>
    <w:p w14:paraId="04000000">
      <w:pPr>
        <w:widowControl w:val="1"/>
        <w:spacing w:after="0" w:line="240" w:lineRule="auto"/>
        <w:ind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При планировании и подготовке террористических актов преступники, как правило, проводят ряд подготовительных действий, имеющих соответствующие признаки, позволяющие выявить опасность. К таким признакам могут относиться:</w:t>
      </w:r>
    </w:p>
    <w:p w14:paraId="05000000">
      <w:pPr>
        <w:widowControl w:val="1"/>
        <w:numPr>
          <w:ilvl w:val="0"/>
          <w:numId w:val="1"/>
        </w:numPr>
        <w:spacing w:afterAutospacing="on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появление лиц, в поведении которых усматривается изучение обстановки в окружении объекта, повышенный или слабо мотивированный интерес к определенным аспектам его деятельности;</w:t>
      </w:r>
    </w:p>
    <w:p w14:paraId="06000000">
      <w:pPr>
        <w:widowControl w:val="1"/>
        <w:numPr>
          <w:ilvl w:val="0"/>
          <w:numId w:val="1"/>
        </w:numPr>
        <w:spacing w:afterAutospacing="on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неоднократное появление подозрительных лиц у выбранных объектов, проведение ими фото - и видеосъемки, составление планов, схем и т.п.;</w:t>
      </w:r>
    </w:p>
    <w:p w14:paraId="07000000">
      <w:pPr>
        <w:widowControl w:val="1"/>
        <w:numPr>
          <w:ilvl w:val="0"/>
          <w:numId w:val="1"/>
        </w:numPr>
        <w:spacing w:afterAutospacing="on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необоснованное вступление незнакомцев в контакт с персоналом объектов и его охраны, выведывание у них режима работы, обеспечения безопасности и т.д.;</w:t>
      </w:r>
    </w:p>
    <w:p w14:paraId="08000000">
      <w:pPr>
        <w:widowControl w:val="1"/>
        <w:numPr>
          <w:ilvl w:val="0"/>
          <w:numId w:val="1"/>
        </w:numPr>
        <w:spacing w:afterAutospacing="on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проникновение в подвалы и на чердаки зданий лиц, которые не имеют отношения к их техническому обслуживанию;</w:t>
      </w:r>
    </w:p>
    <w:p w14:paraId="09000000">
      <w:pPr>
        <w:widowControl w:val="1"/>
        <w:numPr>
          <w:ilvl w:val="0"/>
          <w:numId w:val="1"/>
        </w:numPr>
        <w:spacing w:afterAutospacing="on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поиск лиц, готовых за солидное вознаграждение выполнить малозначимую работу (передача пакета, свертка, посылки);</w:t>
      </w:r>
    </w:p>
    <w:p w14:paraId="0A000000">
      <w:pPr>
        <w:widowControl w:val="1"/>
        <w:numPr>
          <w:ilvl w:val="0"/>
          <w:numId w:val="1"/>
        </w:numPr>
        <w:spacing w:afterAutospacing="on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обнаружение оставленных без присмотра и «забытых» сумок, портфелей коробок и иных предметов в местах с массовым пребыванием людей. При этом на предметах могут быть видны источники электропитания, электропровода, антенны, средства связи (мобильные телефоны, радиостанции) и т.д.</w:t>
      </w:r>
    </w:p>
    <w:p w14:paraId="0B000000">
      <w:pPr>
        <w:widowControl w:val="1"/>
        <w:spacing w:afterAutospacing="on" w:beforeAutospacing="on" w:line="240" w:lineRule="auto"/>
        <w:ind w:left="356"/>
        <w:contextualSpacing w:val="1"/>
        <w:rPr>
          <w:rFonts w:ascii="Times New Roman" w:hAnsi="Times New Roman"/>
          <w:color w:val="333333"/>
          <w:sz w:val="28"/>
        </w:rPr>
      </w:pPr>
    </w:p>
    <w:p w14:paraId="0C000000">
      <w:pPr>
        <w:widowControl w:val="1"/>
        <w:spacing w:after="0" w:line="240" w:lineRule="auto"/>
        <w:ind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Приготовление преступников к совершению теракта </w:t>
      </w:r>
      <w:r>
        <w:rPr>
          <w:rFonts w:ascii="Times New Roman" w:hAnsi="Times New Roman"/>
          <w:b w:val="1"/>
          <w:color w:val="333333"/>
          <w:sz w:val="28"/>
        </w:rPr>
        <w:t>с использованием автотранспорта </w:t>
      </w:r>
      <w:r>
        <w:rPr>
          <w:rFonts w:ascii="Times New Roman" w:hAnsi="Times New Roman"/>
          <w:color w:val="333333"/>
          <w:sz w:val="28"/>
        </w:rPr>
        <w:t>также имеет ряд признаков, совокупность которых может позволить заблаговременно выявить опасность:</w:t>
      </w:r>
    </w:p>
    <w:p w14:paraId="0D000000">
      <w:pPr>
        <w:widowControl w:val="1"/>
        <w:numPr>
          <w:ilvl w:val="0"/>
          <w:numId w:val="2"/>
        </w:numPr>
        <w:spacing w:after="0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Подержанный легковой автомобиль распространенной модели,</w:t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color w:val="333333"/>
          <w:sz w:val="28"/>
        </w:rPr>
        <w:t>в т.ч. отечественного производства (могут также использоваться малотоннажные или грузопассажирские автомобили).</w:t>
      </w:r>
    </w:p>
    <w:p w14:paraId="0E000000">
      <w:pPr>
        <w:widowControl w:val="1"/>
        <w:numPr>
          <w:ilvl w:val="0"/>
          <w:numId w:val="2"/>
        </w:numPr>
        <w:spacing w:after="0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Заметное пренебрежительное отношение к техническому состоянию</w:t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color w:val="333333"/>
          <w:sz w:val="28"/>
        </w:rPr>
        <w:t>и внешнему виду автомобиля со стороны водителя.</w:t>
      </w:r>
    </w:p>
    <w:p w14:paraId="0F000000">
      <w:pPr>
        <w:widowControl w:val="1"/>
        <w:numPr>
          <w:ilvl w:val="0"/>
          <w:numId w:val="2"/>
        </w:numPr>
        <w:spacing w:after="0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Парковка автомобиля в непосредственной близости от мест с массовым пребыванием людей (в т.ч. с нарушением правил дорожного движения).</w:t>
      </w:r>
    </w:p>
    <w:p w14:paraId="10000000">
      <w:pPr>
        <w:widowControl w:val="1"/>
        <w:numPr>
          <w:ilvl w:val="0"/>
          <w:numId w:val="2"/>
        </w:numPr>
        <w:spacing w:after="0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Необъяснимое замешательство, растерянность или испуг водителя</w:t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color w:val="333333"/>
          <w:sz w:val="28"/>
        </w:rPr>
        <w:t>и пассажиров транспортного средства при внезапном обращении к ним.</w:t>
      </w:r>
    </w:p>
    <w:p w14:paraId="11000000">
      <w:pPr>
        <w:widowControl w:val="1"/>
        <w:numPr>
          <w:ilvl w:val="0"/>
          <w:numId w:val="2"/>
        </w:numPr>
        <w:spacing w:after="0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Нахождение внутри салона автомобиля объемных сумок, коробок, мешков и т.д</w:t>
      </w:r>
      <w:r>
        <w:rPr>
          <w:rFonts w:ascii="Times New Roman" w:hAnsi="Times New Roman"/>
          <w:color w:val="333333"/>
          <w:sz w:val="28"/>
        </w:rPr>
        <w:t>..</w:t>
      </w:r>
    </w:p>
    <w:p w14:paraId="12000000">
      <w:pPr>
        <w:widowControl w:val="1"/>
        <w:numPr>
          <w:ilvl w:val="0"/>
          <w:numId w:val="2"/>
        </w:numPr>
        <w:spacing w:after="0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Длительное нахождение незнакомого транспортного средства вблизи мест с массовым пребыванием людей, зданий детских садов, школ, органов власти и управления.</w:t>
      </w:r>
    </w:p>
    <w:p w14:paraId="13000000">
      <w:pPr>
        <w:widowControl w:val="1"/>
        <w:spacing w:after="0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</w:p>
    <w:p w14:paraId="14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Особенности поведения при проживании террористов на квартирах:</w:t>
      </w:r>
    </w:p>
    <w:p w14:paraId="15000000">
      <w:pPr>
        <w:widowControl w:val="1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проживают, практически не выходя из помещения (запрещено общаться с соседями, даже если они сами захотят вступить в контакт);</w:t>
      </w:r>
    </w:p>
    <w:p w14:paraId="16000000">
      <w:pPr>
        <w:widowControl w:val="1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в квартирах не заметны следы бытового пребывания, отсутствует музыка, звуки работающего телевизора, не слышны бытовые разговоры, звуки хозяйственной деятельности. Мусор могут выносить другие люди, которые приносят еду, или обитатели квартиры ночью;</w:t>
      </w:r>
    </w:p>
    <w:p w14:paraId="17000000">
      <w:pPr>
        <w:widowControl w:val="1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отсутствие косметики у женщин, кроме средств окрашивания волос;</w:t>
      </w:r>
    </w:p>
    <w:p w14:paraId="18000000">
      <w:pPr>
        <w:widowControl w:val="1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наличие характерных продуктов питания, предназначенных специально для мусульман. В идеале смертник не должен питаться «нечистой» едой, продукты должны быть приобретены только в специальных местах.</w:t>
      </w:r>
    </w:p>
    <w:p w14:paraId="19000000">
      <w:pPr>
        <w:widowControl w:val="1"/>
        <w:spacing w:after="288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Для решения задач по предупреждению и недопущению террористических акций с использованием различных средств подрыва, в том числе СВУ, </w:t>
      </w:r>
      <w:r>
        <w:rPr>
          <w:rFonts w:ascii="Times New Roman" w:hAnsi="Times New Roman"/>
          <w:color w:val="333333"/>
          <w:sz w:val="28"/>
        </w:rPr>
        <w:t>важное значение</w:t>
      </w:r>
      <w:r>
        <w:rPr>
          <w:rFonts w:ascii="Times New Roman" w:hAnsi="Times New Roman"/>
          <w:color w:val="333333"/>
          <w:sz w:val="28"/>
        </w:rPr>
        <w:t xml:space="preserve"> приобретает изучение и анализ тактики террористов, стандартных моделей их действий в различных условиях.</w:t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color w:val="333333"/>
          <w:sz w:val="28"/>
        </w:rPr>
        <w:t>Большую роль в предотвращении террористических актов могут сыграть действия, как общественных организаций, так и простых граждан. Анализ проведения крупномасштабных актов свидетельствует о том, что своевременное реагирование гражданами на признаки террористической деятельности могло бы существенно повысить возможности органов безопасности и правоохранительных органов по выявлению и предотвращению актов терроризма. При этом необходимо предостеречь граждан от попыток самостоятельного изучения подозрительных предметов (например, брошенные машины, сумки, пакеты и т.п.). В случае обнаружения необходимо незамедлительно обращаться в соответствующие органы. Только совместными усилиями органов государственной власти, общественных организаций и всего гражданского общества можно пресечь преступные устремления главарей террористических организаций.</w:t>
      </w:r>
    </w:p>
    <w:p w14:paraId="1A000000">
      <w:pPr>
        <w:widowControl w:val="1"/>
        <w:spacing w:after="0" w:line="240" w:lineRule="auto"/>
        <w:ind/>
        <w:jc w:val="center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Действия при обнаружении подозрительных предметов</w:t>
      </w:r>
    </w:p>
    <w:p w14:paraId="1B000000">
      <w:pPr>
        <w:widowControl w:val="1"/>
        <w:numPr>
          <w:ilvl w:val="0"/>
          <w:numId w:val="4"/>
        </w:numPr>
        <w:spacing w:afterAutospacing="on" w:beforeAutospacing="on" w:line="257" w:lineRule="atLeast"/>
        <w:ind w:left="356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Обеспечить полную неприкосновенность обнаруженного предмета – его запрещается передвигать, поднимать и т.д. При возможности – огородить место обнаружения.</w:t>
      </w:r>
    </w:p>
    <w:p w14:paraId="1C000000">
      <w:pPr>
        <w:widowControl w:val="1"/>
        <w:numPr>
          <w:ilvl w:val="0"/>
          <w:numId w:val="4"/>
        </w:numPr>
        <w:spacing w:afterAutospacing="on" w:beforeAutospacing="on" w:line="257" w:lineRule="atLeast"/>
        <w:ind w:left="356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Произвести внешний осмотр предмета с целью обнаружения возможных признаков самодельного взрывного устройства. Во время осмотра прикасаться к обнаруженному предмету категорически запрещено (равно как и нарушать целостность его внешней оболочки).</w:t>
      </w:r>
    </w:p>
    <w:p w14:paraId="1D000000">
      <w:pPr>
        <w:widowControl w:val="1"/>
        <w:numPr>
          <w:ilvl w:val="0"/>
          <w:numId w:val="4"/>
        </w:numPr>
        <w:spacing w:afterAutospacing="on" w:beforeAutospacing="on" w:line="257" w:lineRule="atLeast"/>
        <w:ind w:left="356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Опросить находящихся поблизости людей с целью установления возможной принадлежности обнаруженного предмета конкретному лицу.</w:t>
      </w:r>
    </w:p>
    <w:p w14:paraId="1E000000">
      <w:pPr>
        <w:widowControl w:val="1"/>
        <w:numPr>
          <w:ilvl w:val="0"/>
          <w:numId w:val="4"/>
        </w:numPr>
        <w:spacing w:afterAutospacing="on" w:beforeAutospacing="on" w:line="257" w:lineRule="atLeast"/>
        <w:ind w:left="356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В случае возникновения подозрений о том, что обнаруженный предмет может представлять опасность – постарайтесь сделать так, чтобы находящиеся поблизости люди покинули возможную опасную зону, а </w:t>
      </w:r>
      <w:r>
        <w:rPr>
          <w:rFonts w:ascii="Times New Roman" w:hAnsi="Times New Roman"/>
          <w:color w:val="333333"/>
          <w:sz w:val="28"/>
        </w:rPr>
        <w:t xml:space="preserve">также немедленно оповестите в дежурную часть </w:t>
      </w:r>
      <w:r>
        <w:rPr>
          <w:rFonts w:ascii="Times New Roman" w:hAnsi="Times New Roman"/>
          <w:color w:val="333333"/>
          <w:sz w:val="28"/>
        </w:rPr>
        <w:t>О</w:t>
      </w:r>
      <w:r>
        <w:rPr>
          <w:rFonts w:ascii="Times New Roman" w:hAnsi="Times New Roman"/>
          <w:color w:val="333333"/>
          <w:sz w:val="28"/>
        </w:rPr>
        <w:t>тд</w:t>
      </w:r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333333"/>
          <w:sz w:val="28"/>
        </w:rPr>
        <w:t>МВД</w:t>
      </w:r>
      <w:r>
        <w:rPr>
          <w:rFonts w:ascii="Times New Roman" w:hAnsi="Times New Roman"/>
          <w:color w:val="333333"/>
          <w:sz w:val="28"/>
        </w:rPr>
        <w:t xml:space="preserve"> России по </w:t>
      </w:r>
      <w:r>
        <w:rPr>
          <w:rFonts w:ascii="Times New Roman" w:hAnsi="Times New Roman"/>
          <w:color w:val="333333"/>
          <w:sz w:val="28"/>
        </w:rPr>
        <w:t>Горшеченскому району</w:t>
      </w:r>
      <w:r>
        <w:rPr>
          <w:rFonts w:ascii="Times New Roman" w:hAnsi="Times New Roman"/>
          <w:color w:val="333333"/>
          <w:sz w:val="28"/>
        </w:rPr>
        <w:t xml:space="preserve"> (тел. 02 или </w:t>
      </w:r>
      <w:r>
        <w:rPr>
          <w:rFonts w:ascii="Times New Roman" w:hAnsi="Times New Roman"/>
          <w:color w:val="333333"/>
          <w:sz w:val="28"/>
        </w:rPr>
        <w:t>2</w:t>
      </w:r>
      <w:r>
        <w:rPr>
          <w:rFonts w:ascii="Times New Roman" w:hAnsi="Times New Roman"/>
          <w:color w:val="333333"/>
          <w:sz w:val="28"/>
        </w:rPr>
        <w:t>-</w:t>
      </w:r>
      <w:r>
        <w:rPr>
          <w:rFonts w:ascii="Times New Roman" w:hAnsi="Times New Roman"/>
          <w:color w:val="333333"/>
          <w:sz w:val="28"/>
        </w:rPr>
        <w:t>12</w:t>
      </w:r>
      <w:r>
        <w:rPr>
          <w:rFonts w:ascii="Times New Roman" w:hAnsi="Times New Roman"/>
          <w:color w:val="333333"/>
          <w:sz w:val="28"/>
        </w:rPr>
        <w:t>-02);</w:t>
      </w:r>
    </w:p>
    <w:p w14:paraId="1F000000">
      <w:pPr>
        <w:widowControl w:val="1"/>
        <w:numPr>
          <w:ilvl w:val="0"/>
          <w:numId w:val="4"/>
        </w:numPr>
        <w:spacing w:afterAutospacing="on" w:beforeAutospacing="on" w:line="257" w:lineRule="atLeast"/>
        <w:ind w:left="356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Запрещается использовать вблизи от места нахождения подозрительного предмета беспроводные средства связи (мобильные телефоны, радиостанции).</w:t>
      </w:r>
    </w:p>
    <w:p w14:paraId="20000000">
      <w:pPr>
        <w:widowControl w:val="1"/>
        <w:spacing w:after="128" w:line="240" w:lineRule="auto"/>
        <w:ind/>
        <w:jc w:val="center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Действия при обнаружении подозрительных лиц</w:t>
      </w:r>
    </w:p>
    <w:p w14:paraId="21000000">
      <w:pPr>
        <w:widowControl w:val="1"/>
        <w:spacing w:after="0" w:line="240" w:lineRule="auto"/>
        <w:ind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В случае обнаружения подозрительных лиц необходимо выполнить следующие действия:</w:t>
      </w:r>
    </w:p>
    <w:p w14:paraId="22000000">
      <w:pPr>
        <w:widowControl w:val="1"/>
        <w:numPr>
          <w:ilvl w:val="0"/>
          <w:numId w:val="5"/>
        </w:numPr>
        <w:spacing w:after="0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Незамедлительно сообщить о них в дежурную часть </w:t>
      </w:r>
      <w:r>
        <w:rPr>
          <w:rFonts w:ascii="Times New Roman" w:hAnsi="Times New Roman"/>
          <w:color w:val="333333"/>
          <w:sz w:val="28"/>
        </w:rPr>
        <w:t>О</w:t>
      </w:r>
      <w:r>
        <w:rPr>
          <w:rFonts w:ascii="Times New Roman" w:hAnsi="Times New Roman"/>
          <w:color w:val="333333"/>
          <w:sz w:val="28"/>
        </w:rPr>
        <w:t>тд</w:t>
      </w:r>
      <w:r>
        <w:rPr>
          <w:rFonts w:ascii="Times New Roman" w:hAnsi="Times New Roman"/>
          <w:color w:val="333333"/>
          <w:sz w:val="28"/>
        </w:rPr>
        <w:t xml:space="preserve"> МВД</w:t>
      </w:r>
      <w:r>
        <w:rPr>
          <w:rFonts w:ascii="Times New Roman" w:hAnsi="Times New Roman"/>
          <w:color w:val="333333"/>
          <w:sz w:val="28"/>
        </w:rPr>
        <w:t xml:space="preserve"> России по </w:t>
      </w:r>
      <w:r>
        <w:rPr>
          <w:rFonts w:ascii="Times New Roman" w:hAnsi="Times New Roman"/>
          <w:color w:val="333333"/>
          <w:sz w:val="28"/>
        </w:rPr>
        <w:t>Горшеченскому району</w:t>
      </w:r>
      <w:r>
        <w:rPr>
          <w:rFonts w:ascii="Times New Roman" w:hAnsi="Times New Roman"/>
          <w:color w:val="333333"/>
          <w:sz w:val="28"/>
        </w:rPr>
        <w:t xml:space="preserve"> (тел. 02 или </w:t>
      </w:r>
      <w:r>
        <w:rPr>
          <w:rFonts w:ascii="Times New Roman" w:hAnsi="Times New Roman"/>
          <w:color w:val="333333"/>
          <w:sz w:val="28"/>
        </w:rPr>
        <w:t>2</w:t>
      </w:r>
      <w:r>
        <w:rPr>
          <w:rFonts w:ascii="Times New Roman" w:hAnsi="Times New Roman"/>
          <w:color w:val="333333"/>
          <w:sz w:val="28"/>
        </w:rPr>
        <w:t>-</w:t>
      </w:r>
      <w:r>
        <w:rPr>
          <w:rFonts w:ascii="Times New Roman" w:hAnsi="Times New Roman"/>
          <w:color w:val="333333"/>
          <w:sz w:val="28"/>
        </w:rPr>
        <w:t>12</w:t>
      </w:r>
      <w:r>
        <w:rPr>
          <w:rFonts w:ascii="Times New Roman" w:hAnsi="Times New Roman"/>
          <w:color w:val="333333"/>
          <w:sz w:val="28"/>
        </w:rPr>
        <w:t>-02), при этом важно указать их приметы и точное место нахождения (направление движения).</w:t>
      </w:r>
    </w:p>
    <w:p w14:paraId="23000000">
      <w:pPr>
        <w:widowControl w:val="1"/>
        <w:numPr>
          <w:ilvl w:val="0"/>
          <w:numId w:val="5"/>
        </w:numPr>
        <w:spacing w:after="0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Не принимать самостоятельных попыток к задержанию.</w:t>
      </w:r>
    </w:p>
    <w:p w14:paraId="24000000">
      <w:pPr>
        <w:widowControl w:val="1"/>
        <w:numPr>
          <w:ilvl w:val="0"/>
          <w:numId w:val="5"/>
        </w:numPr>
        <w:spacing w:after="0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Не привлекая внимания – осуществлять наблюдение за лицами, вызывающими подозрение. В ходе наблюдения зафиксировать количество лиц, точные приметы внешности, одежды и имеющихся при них предметов, марки и номера используемых автомобилей, направление движения.</w:t>
      </w:r>
    </w:p>
    <w:p w14:paraId="25000000">
      <w:pPr>
        <w:widowControl w:val="1"/>
        <w:spacing w:after="0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</w:p>
    <w:p w14:paraId="26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Поведение в местах массового пребывания людей</w:t>
      </w:r>
    </w:p>
    <w:p w14:paraId="27000000">
      <w:pPr>
        <w:widowControl w:val="1"/>
        <w:spacing w:after="0" w:line="240" w:lineRule="auto"/>
        <w:ind/>
        <w:jc w:val="center"/>
        <w:rPr>
          <w:rFonts w:ascii="Times New Roman" w:hAnsi="Times New Roman"/>
          <w:color w:val="333333"/>
          <w:sz w:val="16"/>
        </w:rPr>
      </w:pPr>
    </w:p>
    <w:p w14:paraId="28000000">
      <w:pPr>
        <w:widowControl w:val="1"/>
        <w:spacing w:after="0" w:line="240" w:lineRule="auto"/>
        <w:ind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Террористы часто выбирают для своих атак места массового пребывания людей. Помимо собственно поражающего фактора террористического акта, люди гибнут и получают травмы еще и в результате давки, возникшей вследствие паники. Поэтому необходимо помнить следующие правила поведения в местах массового скопления людей:</w:t>
      </w:r>
    </w:p>
    <w:p w14:paraId="29000000">
      <w:pPr>
        <w:widowControl w:val="1"/>
        <w:numPr>
          <w:ilvl w:val="0"/>
          <w:numId w:val="6"/>
        </w:numPr>
        <w:spacing w:after="0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Наиболее безопасным является место, расположенное как можно дальше от середины толпы, трибун, мусорных контейнеров, ящиков, оставленных пакетов и сумок, стеклянных витрин, заборов и оград.</w:t>
      </w:r>
    </w:p>
    <w:p w14:paraId="2A000000">
      <w:pPr>
        <w:widowControl w:val="1"/>
        <w:numPr>
          <w:ilvl w:val="0"/>
          <w:numId w:val="6"/>
        </w:numPr>
        <w:spacing w:after="0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В случае возникновения паники необходимо снять с себя галстук, шарф, шейный платок и т.д. (чтобы не зацепиться или и не спровоцировать удушение).</w:t>
      </w:r>
    </w:p>
    <w:p w14:paraId="2B000000">
      <w:pPr>
        <w:widowControl w:val="1"/>
        <w:numPr>
          <w:ilvl w:val="0"/>
          <w:numId w:val="6"/>
        </w:numPr>
        <w:spacing w:after="0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При давке необходимо освободить руки от всех предметов (бросить сумку, зонт и т.п.), согнуть их в локтях и прижать к корпусу в целях защиты</w:t>
      </w:r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333333"/>
          <w:sz w:val="28"/>
        </w:rPr>
        <w:t>от сдавливания грудной клетки, застегнуть одежду на все пуговицы.</w:t>
      </w:r>
    </w:p>
    <w:p w14:paraId="2C000000">
      <w:pPr>
        <w:widowControl w:val="1"/>
        <w:numPr>
          <w:ilvl w:val="0"/>
          <w:numId w:val="6"/>
        </w:numPr>
        <w:spacing w:after="0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Следует всеми силами держаться на ногах, не упасть, избегать мест наибольшего скопления и давления – сужений, выступов и т.д</w:t>
      </w:r>
      <w:r>
        <w:rPr>
          <w:rFonts w:ascii="Times New Roman" w:hAnsi="Times New Roman"/>
          <w:color w:val="333333"/>
          <w:sz w:val="28"/>
        </w:rPr>
        <w:t>..</w:t>
      </w:r>
    </w:p>
    <w:p w14:paraId="2D000000">
      <w:pPr>
        <w:widowControl w:val="1"/>
        <w:numPr>
          <w:ilvl w:val="0"/>
          <w:numId w:val="6"/>
        </w:numPr>
        <w:spacing w:after="0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В случае падения необходимо свернуться клубком на боку, резко подтянуть ноги и постараться встать по ходу движения толпы.</w:t>
      </w:r>
    </w:p>
    <w:p w14:paraId="2E000000">
      <w:pPr>
        <w:widowControl w:val="1"/>
        <w:numPr>
          <w:ilvl w:val="0"/>
          <w:numId w:val="6"/>
        </w:numPr>
        <w:spacing w:after="0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Не стоит привлекать к себе внимание громкими репликами, выкрикиванием лозунгов, приближаться к агрессивно настроенным лицам или группам лиц, вмешиваться в происходящие стычки.</w:t>
      </w:r>
    </w:p>
    <w:p w14:paraId="2F000000">
      <w:pPr>
        <w:widowControl w:val="1"/>
        <w:numPr>
          <w:ilvl w:val="0"/>
          <w:numId w:val="6"/>
        </w:numPr>
        <w:spacing w:after="0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Нельзя вливаться в толпу сбоку, нагибаться, поднимать с пола оброненные предметы, хвататься за деревья, столбы, ограду, поднимать </w:t>
      </w:r>
      <w:r>
        <w:rPr>
          <w:rFonts w:ascii="Times New Roman" w:hAnsi="Times New Roman"/>
          <w:color w:val="333333"/>
          <w:sz w:val="28"/>
        </w:rPr>
        <w:t xml:space="preserve">руки над головой (сдавят грудную клетку) или опускать их вниз (при сжатии толпы их не удастся поднять </w:t>
      </w:r>
      <w:r>
        <w:rPr>
          <w:rFonts w:ascii="Times New Roman" w:hAnsi="Times New Roman"/>
          <w:color w:val="333333"/>
          <w:sz w:val="28"/>
        </w:rPr>
        <w:t>согнутыми</w:t>
      </w:r>
      <w:r>
        <w:rPr>
          <w:rFonts w:ascii="Times New Roman" w:hAnsi="Times New Roman"/>
          <w:color w:val="333333"/>
          <w:sz w:val="28"/>
        </w:rPr>
        <w:t xml:space="preserve"> на уровень солнечного сплетения и защититься от сдавливания).</w:t>
      </w:r>
    </w:p>
    <w:p w14:paraId="30000000">
      <w:pPr>
        <w:widowControl w:val="1"/>
        <w:numPr>
          <w:ilvl w:val="0"/>
          <w:numId w:val="6"/>
        </w:numPr>
        <w:spacing w:after="0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Ни в коем случае не идите против движения толпы. При первой же возможности покиньте толпу. Выходить из толпы необходимо, двигаясь</w:t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color w:val="333333"/>
          <w:sz w:val="28"/>
        </w:rPr>
        <w:t>в попутном направлении и постепенно смещаясь в сторону.</w:t>
      </w:r>
    </w:p>
    <w:p w14:paraId="31000000">
      <w:pPr>
        <w:widowControl w:val="1"/>
        <w:spacing w:after="0" w:beforeAutospacing="on" w:line="240" w:lineRule="auto"/>
        <w:ind w:left="356"/>
        <w:contextualSpacing w:val="1"/>
        <w:jc w:val="both"/>
        <w:rPr>
          <w:rFonts w:ascii="Times New Roman" w:hAnsi="Times New Roman"/>
          <w:color w:val="333333"/>
          <w:sz w:val="28"/>
        </w:rPr>
      </w:pPr>
    </w:p>
    <w:p w14:paraId="32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Правила поведения при объявлении эвакуации</w:t>
      </w:r>
    </w:p>
    <w:p w14:paraId="33000000">
      <w:pPr>
        <w:widowControl w:val="1"/>
        <w:spacing w:after="0" w:line="240" w:lineRule="auto"/>
        <w:ind/>
        <w:jc w:val="center"/>
        <w:rPr>
          <w:rFonts w:ascii="Times New Roman" w:hAnsi="Times New Roman"/>
          <w:color w:val="333333"/>
          <w:sz w:val="28"/>
        </w:rPr>
      </w:pPr>
    </w:p>
    <w:p w14:paraId="34000000">
      <w:pPr>
        <w:widowControl w:val="1"/>
        <w:spacing w:after="128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Сообщение об эвакуации может поступить не только в случае обнаружения взрывного устройства и ликвидации последствий совершенного теракта, но и при пожаре, стихийном бедствии и т.п.</w:t>
      </w:r>
    </w:p>
    <w:p w14:paraId="35000000">
      <w:pPr>
        <w:widowControl w:val="1"/>
        <w:spacing w:after="128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Получив сообщение от представителей властей</w:t>
      </w:r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333333"/>
          <w:sz w:val="28"/>
        </w:rPr>
        <w:t>или правоохранительных органов о начале эвакуации, соблюдайте спокойствие и четко выполняйте их команды.</w:t>
      </w:r>
    </w:p>
    <w:p w14:paraId="36000000">
      <w:pPr>
        <w:widowControl w:val="1"/>
        <w:spacing w:after="128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Если на момент объявления эвакуации вы находитесь в квартире, выполните следующие действия:</w:t>
      </w:r>
    </w:p>
    <w:p w14:paraId="37000000">
      <w:pPr>
        <w:widowControl w:val="1"/>
        <w:numPr>
          <w:ilvl w:val="0"/>
          <w:numId w:val="7"/>
        </w:numPr>
        <w:spacing w:afterAutospacing="on" w:beforeAutospacing="on" w:line="257" w:lineRule="atLeast"/>
        <w:ind w:left="356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возьмите личные документы, деньги и ценности;</w:t>
      </w:r>
    </w:p>
    <w:p w14:paraId="38000000">
      <w:pPr>
        <w:widowControl w:val="1"/>
        <w:numPr>
          <w:ilvl w:val="0"/>
          <w:numId w:val="7"/>
        </w:numPr>
        <w:spacing w:afterAutospacing="on" w:beforeAutospacing="on" w:line="257" w:lineRule="atLeast"/>
        <w:ind w:left="356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отключите электричество, воду и газ;</w:t>
      </w:r>
    </w:p>
    <w:p w14:paraId="39000000">
      <w:pPr>
        <w:widowControl w:val="1"/>
        <w:numPr>
          <w:ilvl w:val="0"/>
          <w:numId w:val="7"/>
        </w:numPr>
        <w:spacing w:afterAutospacing="on" w:beforeAutospacing="on" w:line="257" w:lineRule="atLeast"/>
        <w:ind w:left="356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окажите помощь в эвакуации пожилых и тяжелобольных людей;</w:t>
      </w:r>
    </w:p>
    <w:p w14:paraId="3A000000">
      <w:pPr>
        <w:widowControl w:val="1"/>
        <w:numPr>
          <w:ilvl w:val="0"/>
          <w:numId w:val="7"/>
        </w:numPr>
        <w:spacing w:afterAutospacing="on" w:beforeAutospacing="on" w:line="257" w:lineRule="atLeast"/>
        <w:ind w:left="356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обязательно закройте входную дверь на замок.</w:t>
      </w:r>
    </w:p>
    <w:p w14:paraId="3B000000">
      <w:pPr>
        <w:widowControl w:val="1"/>
        <w:spacing w:after="128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Возвращайтесь в покинутое помещение только после разрешения ответственных лиц.</w:t>
      </w:r>
    </w:p>
    <w:p w14:paraId="3C000000">
      <w:pPr>
        <w:widowControl w:val="1"/>
        <w:spacing w:after="128" w:line="240" w:lineRule="auto"/>
        <w:ind/>
        <w:jc w:val="both"/>
        <w:rPr>
          <w:rFonts w:ascii="Times New Roman" w:hAnsi="Times New Roman"/>
          <w:color w:val="333333"/>
          <w:sz w:val="28"/>
        </w:rPr>
      </w:pPr>
    </w:p>
    <w:p w14:paraId="3D000000">
      <w:pPr>
        <w:widowControl w:val="1"/>
        <w:spacing w:after="128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33333"/>
          <w:sz w:val="28"/>
        </w:rPr>
        <w:t>Администрация Горшеченского района Курской области</w:t>
      </w:r>
      <w:r>
        <w:rPr>
          <w:rFonts w:ascii="Times New Roman" w:hAnsi="Times New Roman"/>
          <w:color w:val="333333"/>
          <w:sz w:val="28"/>
        </w:rP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decimal"/>
      <w:lvlText w:val="%1."/>
      <w:lvlJc w:val="left"/>
      <w:pPr>
        <w:widowControl w:val="1"/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widowControl w:val="1"/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widowControl w:val="1"/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widowControl w:val="1"/>
        <w:tabs>
          <w:tab w:leader="none" w:pos="6480" w:val="left"/>
        </w:tabs>
        <w:ind w:hanging="360" w:left="6480"/>
      </w:pPr>
    </w:lvl>
  </w:abstractNum>
  <w:abstractNum w:abstractNumId="2">
    <w:lvl w:ilvl="0">
      <w:start w:val="1"/>
      <w:numFmt w:val="bullet"/>
      <w:lvlText w:val="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Wingdings" w:hAnsi="Wingdings"/>
        <w:sz w:val="20"/>
      </w:rPr>
    </w:lvl>
    <w:lvl w:ilvl="1">
      <w:start w:val="1"/>
      <w:numFmt w:val="bullet"/>
      <w:lvlText w:val="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Wingdings" w:hAnsi="Wingdings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3">
    <w:lvl w:ilvl="0">
      <w:start w:val="1"/>
      <w:numFmt w:val="decimal"/>
      <w:lvlText w:val="%1."/>
      <w:lvlJc w:val="left"/>
      <w:pPr>
        <w:widowControl w:val="1"/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widowControl w:val="1"/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widowControl w:val="1"/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widowControl w:val="1"/>
        <w:tabs>
          <w:tab w:leader="none" w:pos="6480" w:val="left"/>
        </w:tabs>
        <w:ind w:hanging="360" w:left="6480"/>
      </w:pPr>
    </w:lvl>
  </w:abstractNum>
  <w:abstractNum w:abstractNumId="4">
    <w:lvl w:ilvl="0">
      <w:start w:val="1"/>
      <w:numFmt w:val="decimal"/>
      <w:lvlText w:val="%1."/>
      <w:lvlJc w:val="left"/>
      <w:pPr>
        <w:widowControl w:val="1"/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widowControl w:val="1"/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widowControl w:val="1"/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widowControl w:val="1"/>
        <w:tabs>
          <w:tab w:leader="none" w:pos="6480" w:val="left"/>
        </w:tabs>
        <w:ind w:hanging="360" w:left="6480"/>
      </w:pPr>
    </w:lvl>
  </w:abstractNum>
  <w:abstractNum w:abstractNumId="5">
    <w:lvl w:ilvl="0">
      <w:start w:val="1"/>
      <w:numFmt w:val="decimal"/>
      <w:lvlText w:val="%1."/>
      <w:lvlJc w:val="left"/>
      <w:pPr>
        <w:widowControl w:val="1"/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widowControl w:val="1"/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widowControl w:val="1"/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widowControl w:val="1"/>
        <w:tabs>
          <w:tab w:leader="none" w:pos="6480" w:val="left"/>
        </w:tabs>
        <w:ind w:hanging="360" w:left="6480"/>
      </w:pPr>
    </w:lvl>
  </w:abstractNum>
  <w:abstractNum w:abstractNumId="6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Normal (Web)"/>
    <w:basedOn w:val="Style_1"/>
    <w:link w:val="Style_9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9_ch" w:type="character">
    <w:name w:val="Normal (Web)"/>
    <w:basedOn w:val="Style_1_ch"/>
    <w:link w:val="Style_9"/>
    <w:rPr>
      <w:rFonts w:ascii="Times New Roman" w:hAnsi="Times New Roman"/>
      <w:sz w:val="24"/>
    </w:rPr>
  </w:style>
  <w:style w:styleId="Style_10" w:type="paragraph">
    <w:name w:val="Strong"/>
    <w:basedOn w:val="Style_11"/>
    <w:link w:val="Style_10_ch"/>
    <w:rPr>
      <w:b w:val="1"/>
    </w:rPr>
  </w:style>
  <w:style w:styleId="Style_10_ch" w:type="character">
    <w:name w:val="Strong"/>
    <w:basedOn w:val="Style_11_ch"/>
    <w:link w:val="Style_10"/>
    <w:rPr>
      <w:b w:val="1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basedOn w:val="Style_1"/>
    <w:link w:val="Style_24_ch"/>
    <w:uiPriority w:val="9"/>
    <w:qFormat/>
    <w:pPr>
      <w:widowControl w:val="1"/>
      <w:spacing w:afterAutospacing="on" w:beforeAutospacing="on" w:line="240" w:lineRule="auto"/>
      <w:ind/>
      <w:outlineLvl w:val="1"/>
    </w:pPr>
    <w:rPr>
      <w:rFonts w:ascii="Times New Roman" w:hAnsi="Times New Roman"/>
      <w:b w:val="1"/>
      <w:sz w:val="36"/>
    </w:rPr>
  </w:style>
  <w:style w:styleId="Style_24_ch" w:type="character">
    <w:name w:val="heading 2"/>
    <w:basedOn w:val="Style_1_ch"/>
    <w:link w:val="Style_24"/>
    <w:rPr>
      <w:rFonts w:ascii="Times New Roman" w:hAnsi="Times New Roman"/>
      <w:b w:val="1"/>
      <w:sz w:val="36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2026-05-04T10:10:00Z</dcterms:created>
  <dcterms:modified xsi:type="dcterms:W3CDTF">2026-05-04T13:53:30Z</dcterms:modified>
</cp:coreProperties>
</file>