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E2070" w14:textId="77777777" w:rsidR="00000000" w:rsidRDefault="00000000">
      <w:pPr>
        <w:pStyle w:val="title"/>
        <w:divId w:val="1575041653"/>
      </w:pPr>
      <w:r>
        <w:br/>
        <w:t>Отчет об объеме закупок у субъектов малого предпринимательства, социально ориентированных некоммерческих организаций</w:t>
      </w:r>
    </w:p>
    <w:p w14:paraId="49DF2C1F" w14:textId="77777777" w:rsidR="00000000" w:rsidRDefault="00000000">
      <w:pPr>
        <w:pStyle w:val="subtitle"/>
        <w:divId w:val="1575041653"/>
      </w:pPr>
      <w:r>
        <w:t xml:space="preserve">за 2025 отчетный год </w:t>
      </w:r>
    </w:p>
    <w:p w14:paraId="11AC8D63" w14:textId="77777777" w:rsidR="00000000" w:rsidRDefault="00000000">
      <w:pPr>
        <w:divId w:val="1575041653"/>
        <w:rPr>
          <w:rFonts w:eastAsia="Times New Roman"/>
        </w:rPr>
      </w:pPr>
      <w:r>
        <w:rPr>
          <w:rFonts w:eastAsia="Times New Roman"/>
        </w:rPr>
        <w:t xml:space="preserve">I. Сведения о заказчике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 w14:paraId="41E26495" w14:textId="77777777">
        <w:trPr>
          <w:divId w:val="1575041653"/>
        </w:trPr>
        <w:tc>
          <w:tcPr>
            <w:tcW w:w="2500" w:type="pct"/>
            <w:vAlign w:val="center"/>
            <w:hideMark/>
          </w:tcPr>
          <w:p w14:paraId="23B8C690" w14:textId="77777777" w:rsidR="00000000" w:rsidRDefault="00000000">
            <w:pPr>
              <w:rPr>
                <w:rFonts w:eastAsia="Times New Roman"/>
              </w:rPr>
            </w:pPr>
          </w:p>
        </w:tc>
        <w:tc>
          <w:tcPr>
            <w:tcW w:w="2500" w:type="pct"/>
            <w:vAlign w:val="center"/>
            <w:hideMark/>
          </w:tcPr>
          <w:p w14:paraId="02A6539D" w14:textId="77777777" w:rsidR="00000000" w:rsidRDefault="0000000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96BCBC6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98AF7" w14:textId="77777777" w:rsidR="00000000" w:rsidRDefault="00000000">
            <w:pPr>
              <w:pStyle w:val="a3"/>
              <w:jc w:val="center"/>
            </w:pPr>
            <w: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4E040" w14:textId="77777777" w:rsidR="00000000" w:rsidRDefault="00000000">
            <w:pPr>
              <w:pStyle w:val="parametervalue"/>
              <w:jc w:val="center"/>
            </w:pPr>
            <w:r>
              <w:t>АДМИНИСТРАЦИЯ СОСНОВСКОГО СЕЛЬСОВЕТА ГОРШЕЧЕНСКОГО РАЙОНА КУРСКОЙ ОБЛАСТИ</w:t>
            </w:r>
          </w:p>
        </w:tc>
      </w:tr>
      <w:tr w:rsidR="00000000" w14:paraId="406D0AA7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51A37" w14:textId="77777777" w:rsidR="00000000" w:rsidRDefault="00000000">
            <w:pPr>
              <w:pStyle w:val="a3"/>
              <w:jc w:val="center"/>
            </w:pPr>
            <w:r>
              <w:t>Организационно-правовая 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B54B2" w14:textId="77777777" w:rsidR="00000000" w:rsidRDefault="00000000">
            <w:pPr>
              <w:pStyle w:val="parametervalue"/>
              <w:jc w:val="center"/>
            </w:pPr>
            <w:r>
              <w:t>Муниципальное казенное учреждение</w:t>
            </w:r>
          </w:p>
        </w:tc>
      </w:tr>
      <w:tr w:rsidR="00000000" w14:paraId="036ED887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E8847" w14:textId="77777777" w:rsidR="00000000" w:rsidRDefault="00000000">
            <w:pPr>
              <w:pStyle w:val="a3"/>
              <w:jc w:val="center"/>
            </w:pPr>
            <w:r>
              <w:t>Местонахождение (адрес), телефон, 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EDCF1" w14:textId="77777777" w:rsidR="00000000" w:rsidRDefault="00000000">
            <w:pPr>
              <w:pStyle w:val="parametervalue"/>
              <w:jc w:val="center"/>
            </w:pPr>
            <w:r>
              <w:t>Российская Федерация, 306820, Курская обл, Горшеченский р-н, Сосновка с, Центральная ул, Д.118, +7 (47133) 34122, 89606924925@yandex.ru</w:t>
            </w:r>
          </w:p>
        </w:tc>
      </w:tr>
      <w:tr w:rsidR="00000000" w14:paraId="46305F27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577C0" w14:textId="77777777" w:rsidR="00000000" w:rsidRDefault="00000000">
            <w:pPr>
              <w:pStyle w:val="a3"/>
              <w:jc w:val="center"/>
            </w:pPr>
            <w: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FF03F" w14:textId="77777777" w:rsidR="00000000" w:rsidRDefault="00000000">
            <w:pPr>
              <w:pStyle w:val="parametervalue"/>
              <w:jc w:val="center"/>
            </w:pPr>
            <w:r>
              <w:t>4604000530</w:t>
            </w:r>
          </w:p>
        </w:tc>
      </w:tr>
      <w:tr w:rsidR="00000000" w14:paraId="369BA69E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F32D5" w14:textId="77777777" w:rsidR="00000000" w:rsidRDefault="00000000">
            <w:pPr>
              <w:pStyle w:val="a3"/>
              <w:jc w:val="center"/>
            </w:pPr>
            <w: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E0326" w14:textId="77777777" w:rsidR="00000000" w:rsidRDefault="00000000">
            <w:pPr>
              <w:pStyle w:val="parametervalue"/>
              <w:jc w:val="center"/>
            </w:pPr>
            <w:r>
              <w:t>460401001</w:t>
            </w:r>
          </w:p>
        </w:tc>
      </w:tr>
      <w:tr w:rsidR="00000000" w14:paraId="7713EB91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3BEC3" w14:textId="77777777" w:rsidR="00000000" w:rsidRDefault="00000000">
            <w:pPr>
              <w:pStyle w:val="a3"/>
              <w:jc w:val="center"/>
            </w:pPr>
            <w:r>
              <w:t>по ОКОПФ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9FDA2" w14:textId="77777777" w:rsidR="00000000" w:rsidRDefault="00000000">
            <w:pPr>
              <w:pStyle w:val="parametervalue"/>
              <w:jc w:val="center"/>
            </w:pPr>
            <w:r>
              <w:t>75404</w:t>
            </w:r>
          </w:p>
        </w:tc>
      </w:tr>
      <w:tr w:rsidR="00000000" w14:paraId="6C30C28B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110F6" w14:textId="77777777" w:rsidR="00000000" w:rsidRDefault="00000000">
            <w:pPr>
              <w:pStyle w:val="a3"/>
              <w:jc w:val="center"/>
            </w:pPr>
            <w: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48DCD" w14:textId="77777777" w:rsidR="00000000" w:rsidRDefault="00000000">
            <w:pPr>
              <w:pStyle w:val="parametervalue"/>
              <w:jc w:val="center"/>
            </w:pPr>
            <w:r>
              <w:t xml:space="preserve">04180045 </w:t>
            </w:r>
          </w:p>
        </w:tc>
      </w:tr>
      <w:tr w:rsidR="00000000" w14:paraId="6309EC4F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43CDE" w14:textId="77777777" w:rsidR="00000000" w:rsidRDefault="00000000">
            <w:pPr>
              <w:pStyle w:val="a3"/>
              <w:jc w:val="center"/>
            </w:pPr>
            <w: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FD98E" w14:textId="77777777" w:rsidR="00000000" w:rsidRDefault="00000000">
            <w:pPr>
              <w:pStyle w:val="parametervalue"/>
              <w:jc w:val="center"/>
            </w:pPr>
            <w:r>
              <w:t>38606448101</w:t>
            </w:r>
          </w:p>
        </w:tc>
      </w:tr>
    </w:tbl>
    <w:p w14:paraId="0EBB76BB" w14:textId="77777777" w:rsidR="00000000" w:rsidRDefault="00000000">
      <w:pPr>
        <w:pStyle w:val="subtitle"/>
        <w:divId w:val="1575041653"/>
      </w:pPr>
      <w:r>
        <w:t xml:space="preserve">II. Информация об объеме закупок у субъектов малого предпринимательства, социально ориентированных некоммерческих организаций. Информация о несостоявшемся определении поставщиков (подрядчиков, исполнителей) c участием субъектов малого предпринимательства, социально ориентированных некоммерческих организаций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5423"/>
        <w:gridCol w:w="3458"/>
      </w:tblGrid>
      <w:tr w:rsidR="00000000" w14:paraId="5BB5DB8B" w14:textId="77777777">
        <w:trPr>
          <w:divId w:val="1575041653"/>
        </w:trPr>
        <w:tc>
          <w:tcPr>
            <w:tcW w:w="50" w:type="pct"/>
            <w:vAlign w:val="center"/>
            <w:hideMark/>
          </w:tcPr>
          <w:p w14:paraId="48C6AA37" w14:textId="77777777" w:rsidR="00000000" w:rsidRDefault="00000000"/>
        </w:tc>
        <w:tc>
          <w:tcPr>
            <w:tcW w:w="3000" w:type="pct"/>
            <w:vAlign w:val="center"/>
            <w:hideMark/>
          </w:tcPr>
          <w:p w14:paraId="087CE85C" w14:textId="77777777" w:rsidR="00000000" w:rsidRDefault="0000000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0" w:type="pct"/>
            <w:vAlign w:val="center"/>
            <w:hideMark/>
          </w:tcPr>
          <w:p w14:paraId="3AEAC5DF" w14:textId="77777777" w:rsidR="00000000" w:rsidRDefault="0000000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8D28BB8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B45409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08D6BB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Наименование показателя, 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228845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Величина показателя</w:t>
            </w:r>
          </w:p>
        </w:tc>
      </w:tr>
      <w:tr w:rsidR="00000000" w14:paraId="3AC11646" w14:textId="77777777">
        <w:trPr>
          <w:divId w:val="157504165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46E4B8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Расчет объема закупок, который заказчик обязан осуществить у субъектов малого предпринимательства, социально ориентированных некоммерческих организаций в отчетном году</w:t>
            </w:r>
          </w:p>
        </w:tc>
      </w:tr>
      <w:tr w:rsidR="00000000" w14:paraId="3BB3C6BA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805473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34798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Совокупный годовой объем закупок, за исключением объема закупок, сведения о которых составляют государственную тайну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27CB6C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655.093 00</w:t>
            </w:r>
          </w:p>
        </w:tc>
      </w:tr>
      <w:tr w:rsidR="00000000" w14:paraId="04B51490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DBABE7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EB10E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Общий объем финансового обеспечения для оплаты контрактов в отчетном году в рамках осуществления закупок, не подлежащих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(далее - Федеральный закон) включению в расчет совокупного годового объема закупок заказчика при определении объема закупок, который заказчик обязан осуществить у </w:t>
            </w:r>
            <w:r>
              <w:rPr>
                <w:rFonts w:eastAsia="Times New Roman"/>
              </w:rPr>
              <w:lastRenderedPageBreak/>
              <w:t>субъектов малого предпринимательства и социально ориентированных некоммерческих организаций, за исключением объема финансового обеспечения для оплаты в отчетном году контрактов, содержащих сведения, составляющие государственную тайну» (тыс. руб.):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BB54E8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655.093 00</w:t>
            </w:r>
          </w:p>
        </w:tc>
      </w:tr>
      <w:tr w:rsidR="00000000" w14:paraId="64975D37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E28858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955C01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Объём финансового обеспечения для оплаты в отчётном году контрактов, заключаемых для обеспечения обороны страны и безопасности государства, за исключением объёма финансового обеспечения для оплаты в отчётном году контрактов, содержащих сведения, составляющие государственную тайну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F76982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0.000 00</w:t>
            </w:r>
          </w:p>
        </w:tc>
      </w:tr>
      <w:tr w:rsidR="00000000" w14:paraId="1CD7E884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E001A4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ABB151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Объем финансового обеспечения для оплаты в отчетном году контрактов, заключаемых на оказание услуг по предоставлению кредитов,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BE47DF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0.000 00</w:t>
            </w:r>
          </w:p>
        </w:tc>
      </w:tr>
      <w:tr w:rsidR="00000000" w14:paraId="5B804906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FFD3C4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6BC87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соответствии с пунктом 25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закона) и частью 12 статьи 93 Федерального закона, за исключением объема финансового обеспечения для оплаты в отчетном году контрактов, содержащих сведения, составляющие государственную тайну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F56068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655.093 00</w:t>
            </w:r>
          </w:p>
        </w:tc>
      </w:tr>
      <w:tr w:rsidR="00000000" w14:paraId="58344009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7E63D0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C80D5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Объем финансового обеспечения для оплаты в отчетном году контрактов, заключаемых на выполнение работ в области использования атомной энергии, за исключением объема финансового обеспечения для оплаты в отчетном году контрактов, содержащих сведения, составляющие государственную тайну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B46FDD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0.000 00</w:t>
            </w:r>
          </w:p>
        </w:tc>
      </w:tr>
      <w:tr w:rsidR="00000000" w14:paraId="40C72F76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898670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F7697B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Объем финансового обеспечения для оплаты в отчетном году контрактов, заключаемых по результатам закрытых способов определения поставщиков (подрядчиков, исполнителей), за исключением объема финансового обеспечения для оплаты в отчетном году контрактов, </w:t>
            </w:r>
            <w:r>
              <w:rPr>
                <w:rFonts w:eastAsia="Times New Roman"/>
              </w:rPr>
              <w:lastRenderedPageBreak/>
              <w:t>содержащих сведения, составляющие государственную тайну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9651A7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0.000 00</w:t>
            </w:r>
          </w:p>
        </w:tc>
      </w:tr>
      <w:tr w:rsidR="00000000" w14:paraId="728888EF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7499C2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3B83C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Объем финансового обеспечения для оплаты в отчетном году контрактов, заключаемых на поставку товаров, выполнение работ, оказание услуг для осуществления космической деятельности,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3BADD5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0.000 00</w:t>
            </w:r>
          </w:p>
        </w:tc>
      </w:tr>
      <w:tr w:rsidR="00000000" w14:paraId="3EA6C959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FA40BE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92A60B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Объем финансового обеспечения для оплаты в отчетном году контрактов, заключаемых на поставку наркотических средств, психотропных веществ и их прекурсоров, включенных в перечень наркотических средств, психотропных веществ и их прекурсоров, подлежащих контролю в Российской Федерации, утвержденный постановлением Правительства Российской Федерации от 30 июня 1998 г. № 681 "Об утверждении перечня наркотических средств, психотропных веществ и их прекурсоров, подлежащих контролю в Российской Федерации",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F8D8ED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0.000 00</w:t>
            </w:r>
          </w:p>
        </w:tc>
      </w:tr>
      <w:tr w:rsidR="00000000" w14:paraId="430F31A5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873F97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9F38AF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Объем финансового обеспечения для оплаты в отчетном году контрактов, заключаемых на поставку лекарственных препаратов для медицинского применения, за исключением объема финансового обеспечения для оплаты в отчетном году контрактов на поставку наркотических средств, психотропных веществ и их прекурсоров, включенных в перечень наркотических средств, психотропных веществ и их прекурсоров, подлежащих контролю в Российской Федерации, утвержденный постановлением Правительства Российской Федерации от 30 июня 1998 г. № 681 "Об утверждении перечня наркотических средств, психотропных веществ и их прекурсоров, подлежащих контролю в Российской Федерации", а также контрактов, содержащих сведения, составляющие государственную тайну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4E4739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0.000 00</w:t>
            </w:r>
          </w:p>
        </w:tc>
      </w:tr>
      <w:tr w:rsidR="00000000" w14:paraId="0CF30254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F05BE9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02D2BB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Объем финансового обеспечения для оплаты в отчетном году контрактов, заключаемых на поставку медицинских изделий, за исключением объема финансового обеспечения для оплаты в </w:t>
            </w:r>
            <w:r>
              <w:rPr>
                <w:rFonts w:eastAsia="Times New Roman"/>
              </w:rPr>
              <w:lastRenderedPageBreak/>
              <w:t>отчетном году контрактов, содержащих сведения, составляющие государственную тайну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5B4F04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0.000 00</w:t>
            </w:r>
          </w:p>
        </w:tc>
      </w:tr>
      <w:tr w:rsidR="00000000" w14:paraId="108AEDD0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AD1AFE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F1713E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Совокупный годовой объем закупок, рассчитанный за вычетом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организаций»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9231BC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0.000 00</w:t>
            </w:r>
          </w:p>
        </w:tc>
      </w:tr>
      <w:tr w:rsidR="00000000" w14:paraId="757592D6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D2096C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C04B4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Объем закупок, который заказчик обязан в соответствии с частью 1 статьи 30 Федерального закона осуществить у субъектов малого предпринимательства и социально ориентированных некоммерческих организаций в отчетном году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15A55C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0.000 00</w:t>
            </w:r>
          </w:p>
        </w:tc>
      </w:tr>
      <w:tr w:rsidR="00000000" w14:paraId="1B5E90A2" w14:textId="77777777">
        <w:trPr>
          <w:divId w:val="157504165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8F0278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</w:t>
            </w:r>
          </w:p>
        </w:tc>
      </w:tr>
      <w:tr w:rsidR="00000000" w14:paraId="7BAA8738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DF64EE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2FBC4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Объем закупок в отчетном году, осуществленных по результатам определения поставщиков (подрядчиков, исполнителей), проведенного в соответствии с требованиями пункта 1 части 1 статьи 30 Федерального закона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56C403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0.000 00</w:t>
            </w:r>
          </w:p>
        </w:tc>
      </w:tr>
      <w:tr w:rsidR="00000000" w14:paraId="1E7AD1C8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127145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903CB5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Объем привлечения в отчетном году субподрядчиков, соисполнителей из числа субъектов малого предпринимательства, социально ориентированных некоммерческих организаций к исполнению контрактов, заключенных по результатам определений поставщиков (подрядчиков, исполнителей), в извещениях об осуществлении которых было установлено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75C105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0.000 00</w:t>
            </w:r>
          </w:p>
        </w:tc>
      </w:tr>
      <w:tr w:rsidR="00000000" w14:paraId="2DBDE1A2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CEADF6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F49B1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EDE02C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0.000 00</w:t>
            </w:r>
          </w:p>
        </w:tc>
      </w:tr>
      <w:tr w:rsidR="00000000" w14:paraId="3A2A03E5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85E209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3D5978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Доля закупок, которые заказчик осуществил у субъектов малого предпринимательства и </w:t>
            </w:r>
            <w:r>
              <w:rPr>
                <w:rFonts w:eastAsia="Times New Roman"/>
              </w:rPr>
              <w:lastRenderedPageBreak/>
              <w:t>социально ориентированных некоммерческих организаций в отчетном году, в совокупном годовом объеме закупок, рассчитанном за вычетом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организаций» (%)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9E4782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0.000 00</w:t>
            </w:r>
          </w:p>
        </w:tc>
      </w:tr>
      <w:tr w:rsidR="00000000" w14:paraId="64D7C055" w14:textId="77777777">
        <w:trPr>
          <w:divId w:val="157504165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E42E79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Информация о несостоявшихся определениях поставщиков (подрядчиков, исполнителей) с участием субъектов малого предпринимательства, социально ориентированных некоммерческих организаций </w:t>
            </w:r>
          </w:p>
        </w:tc>
      </w:tr>
      <w:tr w:rsidR="00000000" w14:paraId="05A5101D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FA57C4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05E0B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Сумма начальных (максимальных) цен контрактов несостоявшихся определений поставщиков (подрядчиков, исполнителей) с участием субъектов малого предпринимательства, социально ориентированных некоммерческих организаций по результатам проведения которых контракт не заключен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8A45D0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0.000 00</w:t>
            </w:r>
          </w:p>
        </w:tc>
      </w:tr>
    </w:tbl>
    <w:p w14:paraId="2867C9F4" w14:textId="77777777" w:rsidR="00000000" w:rsidRDefault="00000000">
      <w:pPr>
        <w:pStyle w:val="subtitle"/>
        <w:divId w:val="1575041653"/>
      </w:pPr>
      <w:r>
        <w:t xml:space="preserve">III. Информация о заключенных контрактах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6798"/>
        <w:gridCol w:w="2211"/>
      </w:tblGrid>
      <w:tr w:rsidR="00000000" w14:paraId="73196237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BB6FEE" w14:textId="77777777" w:rsidR="00000000" w:rsidRDefault="00000000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1D295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Виды заключенных контрактов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B85ECB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Уникальные номера реестровых записей из реестра контрактов</w:t>
            </w:r>
          </w:p>
        </w:tc>
      </w:tr>
      <w:tr w:rsidR="00000000" w14:paraId="51DBBEED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D9DB55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C00F6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Контракты, заключенные заказчиками с субъектами малого предпринимательства и социально ориентированными некоммерческими 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1B3C0F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00000" w14:paraId="6AAF6921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385BC4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256DF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Контракты, содержащие условие о привлечении к исполнению контрактов субподрядчиков (соисполнителей) из числа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81E4F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00000" w14:paraId="34C1E9C0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610C2D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1CF77C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Контракты, заключенные в рамках осуществления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4F216B" w14:textId="77777777" w:rsidR="00000000" w:rsidRDefault="00000000">
            <w:pPr>
              <w:jc w:val="center"/>
              <w:rPr>
                <w:rFonts w:eastAsia="Times New Roman"/>
              </w:rPr>
            </w:pPr>
          </w:p>
        </w:tc>
      </w:tr>
      <w:tr w:rsidR="00000000" w14:paraId="0D8EE7BC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314976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DBFE2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контракты на оказание услуг по предоставлению кредитов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B0C553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00000" w14:paraId="44EC9EFF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CBE09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F3359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контракты, заключенные с единственным поставщиком (подрядчиком, исполнителем) в соответствии с частями 1 и 12 статьи 93 Федерального закона за исключением контрактов, которые заключены в соответствии с пунктом 25 части 1 статьи </w:t>
            </w:r>
            <w:r>
              <w:rPr>
                <w:rFonts w:eastAsia="Times New Roman"/>
              </w:rPr>
              <w:lastRenderedPageBreak/>
              <w:t>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5B9EEC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-</w:t>
            </w:r>
          </w:p>
        </w:tc>
      </w:tr>
      <w:tr w:rsidR="00000000" w14:paraId="5AB714B8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9C7F9E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D8A83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контракты, которые заключены в соответствии с пунктом 25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BA1B54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00000" w14:paraId="4FCDF408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A2C151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DF1E8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контракты на выполнение работ в области использования атомной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A34D00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00000" w14:paraId="047F421A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17BAA3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5FCFF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контракты, при осуществлении которых применяются закрытые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BAEF69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00000" w14:paraId="5D01C7EC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178057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A3597B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контракты, заключенные на поставку товаров, выполнение работ, оказание услуг для осуществления космической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AC8F4A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00000" w14:paraId="620689E9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5F91DC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6B78B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контракты на поставку наркотических средств, психотропных веществ и их прекурсоров, включенных в перечень наркотических средств, психотропных веществ и их прекурсоров, подлежащих контролю в Российской Федерации, утвержденный постановлением Правительства Российской Федерации от 30 июня 1998 г. № 681 "Об утверждении перечня наркотических средств, психотропных веществ и их прекурсоров, подлежащих контролю в Российской Федерации"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01FAFD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00000" w14:paraId="4EAFE425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E58CDB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5985E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контракты, на поставку лекарственных препаратов для медицинского применения, за исключением объема финансового обеспечения для оплаты в отчетном году контрактов на поставку наркотических средств, психотропных веществ и их прекурсоров, включенных в перечень наркотических средств, психотропных веществ и их прекурсоров, подлежащих контролю в Российской Федерации, утвержденный постановлением Правительства Российской Федерации от 30 июня 1998 г. № 681 "Об утверждении перечня наркотических средств, психотропных веществ и их прекурсоров, подлежащих контролю в Российской Федерации"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72A850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000000" w14:paraId="68F31E44" w14:textId="77777777">
        <w:trPr>
          <w:divId w:val="1575041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D04C89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150F9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контракты, заключенные на поставку медицинских изделий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03FC4E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</w:tbl>
    <w:p w14:paraId="51DD000D" w14:textId="77777777" w:rsidR="00000000" w:rsidRDefault="00000000">
      <w:pPr>
        <w:divId w:val="1575041653"/>
        <w:rPr>
          <w:rFonts w:eastAsia="Times New Roman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6"/>
        <w:gridCol w:w="6549"/>
      </w:tblGrid>
      <w:tr w:rsidR="00000000" w14:paraId="1E7F89A1" w14:textId="77777777">
        <w:trPr>
          <w:divId w:val="1575041653"/>
          <w:tblCellSpacing w:w="0" w:type="dxa"/>
        </w:trPr>
        <w:tc>
          <w:tcPr>
            <w:tcW w:w="1500" w:type="pct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657DB6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Руководитель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(уполномоченный работник)</w:t>
            </w:r>
          </w:p>
        </w:tc>
        <w:tc>
          <w:tcPr>
            <w:tcW w:w="3500" w:type="pct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36"/>
              <w:gridCol w:w="1409"/>
              <w:gridCol w:w="2229"/>
            </w:tblGrid>
            <w:tr w:rsidR="00000000" w14:paraId="3BB6D379" w14:textId="77777777">
              <w:trPr>
                <w:tblCellSpacing w:w="15" w:type="dxa"/>
              </w:trPr>
              <w:tc>
                <w:tcPr>
                  <w:tcW w:w="2000" w:type="pct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14:paraId="1388A86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ГЛАВА СОСНОВСКОГО СЕЛЬСОВЕТА ГОРШЕЧЕНСКОГО РАЙОНА КУРСКОЙ ОБЛАСТИ</w:t>
                  </w:r>
                </w:p>
              </w:tc>
              <w:tc>
                <w:tcPr>
                  <w:tcW w:w="500" w:type="pct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14:paraId="7CB06049" w14:textId="77777777" w:rsidR="00000000" w:rsidRDefault="0000000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500" w:type="pct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14:paraId="156AC29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ПАНТЫКИН АЛЕКСАНДР АЛЕКСЕЕВИЧ</w:t>
                  </w:r>
                </w:p>
              </w:tc>
            </w:tr>
            <w:tr w:rsidR="00000000" w14:paraId="130A359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14:paraId="6FDB9588" w14:textId="77777777" w:rsidR="00000000" w:rsidRDefault="00000000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(должность)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14:paraId="560474AC" w14:textId="77777777" w:rsidR="00000000" w:rsidRDefault="00000000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(подпись)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14:paraId="03FCC47A" w14:textId="77777777" w:rsidR="00000000" w:rsidRDefault="00000000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(расшифровка подписи)</w:t>
                  </w:r>
                </w:p>
              </w:tc>
            </w:tr>
          </w:tbl>
          <w:p w14:paraId="09B5CCD4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1DCFAA33" w14:textId="77777777" w:rsidR="00000000" w:rsidRDefault="00000000">
      <w:pPr>
        <w:divId w:val="1575041653"/>
        <w:rPr>
          <w:rFonts w:eastAsia="Times New Roman"/>
          <w:vanish/>
        </w:rPr>
      </w:pPr>
    </w:p>
    <w:tbl>
      <w:tblPr>
        <w:tblW w:w="4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</w:tblGrid>
      <w:tr w:rsidR="00000000" w14:paraId="084E24AA" w14:textId="77777777">
        <w:trPr>
          <w:divId w:val="1575041653"/>
          <w:trHeight w:val="960"/>
          <w:tblCellSpacing w:w="0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42C12FA8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М.П.</w:t>
            </w:r>
          </w:p>
        </w:tc>
      </w:tr>
      <w:tr w:rsidR="00000000" w14:paraId="343D1038" w14:textId="77777777">
        <w:trPr>
          <w:divId w:val="1575041653"/>
          <w:tblCellSpacing w:w="0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38E13F1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«16» января 26г.</w:t>
            </w:r>
          </w:p>
        </w:tc>
      </w:tr>
    </w:tbl>
    <w:p w14:paraId="25A41228" w14:textId="77777777" w:rsidR="00000000" w:rsidRDefault="00000000">
      <w:pPr>
        <w:divId w:val="1575041653"/>
        <w:rPr>
          <w:rFonts w:eastAsia="Times New Roman"/>
          <w:vanish/>
        </w:rPr>
      </w:pPr>
    </w:p>
    <w:tbl>
      <w:tblPr>
        <w:tblW w:w="0" w:type="auto"/>
        <w:tblCellSpacing w:w="0" w:type="dxa"/>
        <w:tblCellMar>
          <w:left w:w="225" w:type="dxa"/>
          <w:right w:w="150" w:type="dxa"/>
        </w:tblCellMar>
        <w:tblLook w:val="04A0" w:firstRow="1" w:lastRow="0" w:firstColumn="1" w:lastColumn="0" w:noHBand="0" w:noVBand="1"/>
      </w:tblPr>
      <w:tblGrid>
        <w:gridCol w:w="6"/>
      </w:tblGrid>
      <w:tr w:rsidR="00000000" w14:paraId="56C14EFB" w14:textId="77777777">
        <w:trPr>
          <w:divId w:val="1575041653"/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94BE5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50FFD544" w14:textId="77777777" w:rsidR="00CF4114" w:rsidRDefault="00000000">
      <w:pPr>
        <w:rPr>
          <w:rFonts w:eastAsia="Times New Roman"/>
        </w:rPr>
      </w:pPr>
      <w:r>
        <w:rPr>
          <w:rFonts w:eastAsia="Times New Roman"/>
        </w:rPr>
        <w:pict w14:anchorId="01A562A1"/>
      </w:r>
    </w:p>
    <w:sectPr w:rsidR="00CF4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72"/>
    <w:rsid w:val="00557F4C"/>
    <w:rsid w:val="00686D72"/>
    <w:rsid w:val="00867E14"/>
    <w:rsid w:val="00A57D18"/>
    <w:rsid w:val="00C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zakupki.gov.ru/oos/base/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79B7A2"/>
  <w15:chartTrackingRefBased/>
  <w15:docId w15:val="{E4075DFF-C253-45E7-9F89-AFEDDF82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closepopup">
    <w:name w:val="closepopup"/>
    <w:basedOn w:val="a0"/>
  </w:style>
  <w:style w:type="paragraph" w:customStyle="1" w:styleId="subtitle">
    <w:name w:val="subtitle"/>
    <w:basedOn w:val="a"/>
    <w:pPr>
      <w:spacing w:before="100" w:beforeAutospacing="1" w:after="100" w:afterAutospacing="1"/>
      <w:jc w:val="center"/>
    </w:pPr>
  </w:style>
  <w:style w:type="paragraph" w:customStyle="1" w:styleId="title">
    <w:name w:val="title"/>
    <w:basedOn w:val="a"/>
    <w:pPr>
      <w:spacing w:before="100" w:beforeAutospacing="1" w:after="100" w:afterAutospacing="1"/>
      <w:jc w:val="center"/>
    </w:pPr>
    <w:rPr>
      <w:b/>
      <w:bCs/>
      <w:sz w:val="30"/>
      <w:szCs w:val="30"/>
    </w:rPr>
  </w:style>
  <w:style w:type="paragraph" w:customStyle="1" w:styleId="subtitle16">
    <w:name w:val="subtitle16"/>
    <w:basedOn w:val="a"/>
    <w:pPr>
      <w:spacing w:before="100" w:beforeAutospacing="1" w:after="100" w:afterAutospacing="1"/>
      <w:jc w:val="center"/>
    </w:pPr>
  </w:style>
  <w:style w:type="paragraph" w:customStyle="1" w:styleId="titlebottom">
    <w:name w:val="titlebottom"/>
    <w:basedOn w:val="a"/>
    <w:pPr>
      <w:spacing w:before="100" w:beforeAutospacing="1" w:after="100" w:afterAutospacing="1"/>
      <w:jc w:val="center"/>
    </w:pPr>
    <w:rPr>
      <w:i/>
      <w:iCs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table">
    <w:name w:val="table"/>
    <w:basedOn w:val="a"/>
    <w:pPr>
      <w:spacing w:before="100" w:beforeAutospacing="1" w:after="100" w:afterAutospacing="1"/>
    </w:pPr>
  </w:style>
  <w:style w:type="paragraph" w:customStyle="1" w:styleId="verticaltable">
    <w:name w:val="vertical_table"/>
    <w:basedOn w:val="a"/>
    <w:pPr>
      <w:spacing w:before="100" w:beforeAutospacing="1" w:after="100" w:afterAutospacing="1"/>
    </w:pPr>
  </w:style>
  <w:style w:type="paragraph" w:customStyle="1" w:styleId="borderbottom">
    <w:name w:val="borderbottom"/>
    <w:basedOn w:val="a"/>
    <w:pPr>
      <w:pBdr>
        <w:bottom w:val="single" w:sz="6" w:space="0" w:color="000000"/>
      </w:pBdr>
      <w:spacing w:before="100" w:beforeAutospacing="1" w:after="100" w:afterAutospacing="1"/>
    </w:pPr>
  </w:style>
  <w:style w:type="paragraph" w:customStyle="1" w:styleId="width22">
    <w:name w:val="width22"/>
    <w:basedOn w:val="a"/>
    <w:pPr>
      <w:spacing w:before="100" w:beforeAutospacing="1" w:after="100" w:afterAutospacing="1"/>
    </w:pPr>
  </w:style>
  <w:style w:type="paragraph" w:customStyle="1" w:styleId="width18">
    <w:name w:val="width18"/>
    <w:basedOn w:val="a"/>
    <w:pPr>
      <w:spacing w:before="100" w:beforeAutospacing="1" w:after="100" w:afterAutospacing="1"/>
    </w:pPr>
  </w:style>
  <w:style w:type="paragraph" w:customStyle="1" w:styleId="width23">
    <w:name w:val="width23"/>
    <w:basedOn w:val="a"/>
    <w:pPr>
      <w:spacing w:before="100" w:beforeAutospacing="1" w:after="100" w:afterAutospacing="1"/>
    </w:pPr>
  </w:style>
  <w:style w:type="paragraph" w:customStyle="1" w:styleId="width3">
    <w:name w:val="width3"/>
    <w:basedOn w:val="a"/>
    <w:pPr>
      <w:spacing w:before="100" w:beforeAutospacing="1" w:after="100" w:afterAutospacing="1"/>
    </w:pPr>
  </w:style>
  <w:style w:type="paragraph" w:customStyle="1" w:styleId="width7">
    <w:name w:val="width7"/>
    <w:basedOn w:val="a"/>
    <w:pPr>
      <w:spacing w:before="100" w:beforeAutospacing="1" w:after="100" w:afterAutospacing="1"/>
    </w:pPr>
  </w:style>
  <w:style w:type="paragraph" w:customStyle="1" w:styleId="borderonlyleft">
    <w:name w:val="borderonlyleft"/>
    <w:basedOn w:val="a"/>
    <w:pPr>
      <w:pBdr>
        <w:left w:val="single" w:sz="6" w:space="4" w:color="000000"/>
      </w:pBdr>
      <w:spacing w:before="100" w:beforeAutospacing="1" w:after="100" w:afterAutospacing="1"/>
      <w:jc w:val="center"/>
    </w:pPr>
  </w:style>
  <w:style w:type="paragraph" w:customStyle="1" w:styleId="borderonlyright">
    <w:name w:val="borderonlyright"/>
    <w:basedOn w:val="a"/>
    <w:pPr>
      <w:pBdr>
        <w:right w:val="single" w:sz="6" w:space="0" w:color="000000"/>
      </w:pBdr>
      <w:spacing w:before="100" w:beforeAutospacing="1" w:after="100" w:afterAutospacing="1"/>
    </w:pPr>
  </w:style>
  <w:style w:type="paragraph" w:customStyle="1" w:styleId="borderonlytop">
    <w:name w:val="borderonlytop"/>
    <w:basedOn w:val="a"/>
    <w:pPr>
      <w:pBdr>
        <w:top w:val="single" w:sz="6" w:space="0" w:color="000000"/>
      </w:pBdr>
      <w:spacing w:before="100" w:beforeAutospacing="1" w:after="100" w:afterAutospacing="1"/>
    </w:pPr>
  </w:style>
  <w:style w:type="paragraph" w:customStyle="1" w:styleId="box">
    <w:name w:val="box"/>
    <w:basedOn w:val="a"/>
    <w:pPr>
      <w:spacing w:before="100" w:beforeAutospacing="1" w:after="100" w:afterAutospacing="1"/>
      <w:jc w:val="center"/>
    </w:pPr>
  </w:style>
  <w:style w:type="paragraph" w:customStyle="1" w:styleId="stickbottom">
    <w:name w:val="stickbottom"/>
    <w:basedOn w:val="a"/>
    <w:pPr>
      <w:spacing w:before="100" w:beforeAutospacing="1" w:after="45"/>
    </w:pPr>
  </w:style>
  <w:style w:type="paragraph" w:customStyle="1" w:styleId="titleurl">
    <w:name w:val="titleurl"/>
    <w:basedOn w:val="a"/>
    <w:pPr>
      <w:spacing w:before="100" w:beforeAutospacing="1" w:after="100" w:afterAutospacing="1"/>
      <w:jc w:val="center"/>
    </w:pPr>
  </w:style>
  <w:style w:type="paragraph" w:customStyle="1" w:styleId="fontsize9">
    <w:name w:val="fontsize9"/>
    <w:basedOn w:val="a"/>
    <w:pPr>
      <w:spacing w:before="100" w:beforeAutospacing="1" w:after="100" w:afterAutospacing="1"/>
    </w:pPr>
    <w:rPr>
      <w:sz w:val="14"/>
      <w:szCs w:val="14"/>
    </w:rPr>
  </w:style>
  <w:style w:type="paragraph" w:customStyle="1" w:styleId="fontsize10">
    <w:name w:val="fontsize10"/>
    <w:basedOn w:val="a"/>
    <w:pPr>
      <w:spacing w:before="100" w:beforeAutospacing="1" w:after="100" w:afterAutospacing="1"/>
    </w:pPr>
    <w:rPr>
      <w:sz w:val="14"/>
      <w:szCs w:val="14"/>
    </w:rPr>
  </w:style>
  <w:style w:type="paragraph" w:customStyle="1" w:styleId="centertext">
    <w:name w:val="centertext"/>
    <w:basedOn w:val="a"/>
    <w:pPr>
      <w:spacing w:before="100" w:beforeAutospacing="1" w:after="100" w:afterAutospacing="1"/>
      <w:jc w:val="center"/>
    </w:pPr>
  </w:style>
  <w:style w:type="paragraph" w:customStyle="1" w:styleId="strong">
    <w:name w:val="strong"/>
    <w:basedOn w:val="a"/>
    <w:pPr>
      <w:spacing w:before="100" w:beforeAutospacing="1" w:after="100" w:afterAutospacing="1"/>
    </w:pPr>
    <w:rPr>
      <w:b/>
      <w:bCs/>
    </w:rPr>
  </w:style>
  <w:style w:type="paragraph" w:customStyle="1" w:styleId="tablediv">
    <w:name w:val="tablediv"/>
    <w:basedOn w:val="a"/>
    <w:pPr>
      <w:spacing w:before="100" w:beforeAutospacing="1" w:after="100" w:afterAutospacing="1"/>
    </w:pPr>
  </w:style>
  <w:style w:type="paragraph" w:customStyle="1" w:styleId="rowdiv">
    <w:name w:val="rowdiv"/>
    <w:basedOn w:val="a"/>
    <w:pPr>
      <w:spacing w:before="100" w:beforeAutospacing="1" w:after="100" w:afterAutospacing="1"/>
    </w:pPr>
  </w:style>
  <w:style w:type="paragraph" w:customStyle="1" w:styleId="codecolumn">
    <w:name w:val="codecolumn"/>
    <w:basedOn w:val="a"/>
    <w:pPr>
      <w:spacing w:before="100" w:beforeAutospacing="1" w:after="100" w:afterAutospacing="1"/>
      <w:jc w:val="right"/>
    </w:pPr>
  </w:style>
  <w:style w:type="paragraph" w:customStyle="1" w:styleId="whitespacenowrap">
    <w:name w:val="whitespacenowrap"/>
    <w:basedOn w:val="a"/>
    <w:pPr>
      <w:spacing w:before="100" w:beforeAutospacing="1" w:after="100" w:afterAutospacing="1"/>
    </w:pPr>
  </w:style>
  <w:style w:type="paragraph" w:customStyle="1" w:styleId="lefttext">
    <w:name w:val="lefttext"/>
    <w:basedOn w:val="a"/>
    <w:pPr>
      <w:spacing w:before="100" w:beforeAutospacing="1" w:after="100" w:afterAutospacing="1"/>
    </w:pPr>
  </w:style>
  <w:style w:type="paragraph" w:customStyle="1" w:styleId="noborderbottom">
    <w:name w:val="noborderbottom"/>
    <w:basedOn w:val="a"/>
    <w:pPr>
      <w:spacing w:before="100" w:beforeAutospacing="1" w:after="100" w:afterAutospacing="1"/>
    </w:pPr>
  </w:style>
  <w:style w:type="paragraph" w:customStyle="1" w:styleId="nobordertop">
    <w:name w:val="nobordertop"/>
    <w:basedOn w:val="a"/>
    <w:pPr>
      <w:spacing w:before="100" w:beforeAutospacing="1" w:after="100" w:afterAutospacing="1"/>
    </w:pPr>
  </w:style>
  <w:style w:type="paragraph" w:customStyle="1" w:styleId="parametervalue">
    <w:name w:val="parametervalue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01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3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9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1789</Words>
  <Characters>10202</Characters>
  <Application>Microsoft Office Word</Application>
  <DocSecurity>0</DocSecurity>
  <Lines>85</Lines>
  <Paragraphs>23</Paragraphs>
  <ScaleCrop>false</ScaleCrop>
  <Company/>
  <LinksUpToDate>false</LinksUpToDate>
  <CharactersWithSpaces>11968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2026-07-30T09:00:00Z</dcterms:created>
  <dcterms:modified xsi:type="dcterms:W3CDTF">2026-07-30T09:00:00Z</dcterms:modified>
</cp:coreProperties>
</file>