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CA" w:rsidRPr="00204DCA" w:rsidRDefault="00204DCA" w:rsidP="00204DCA">
      <w:pPr>
        <w:spacing w:before="120" w:after="0" w:line="240" w:lineRule="auto"/>
        <w:ind w:left="120" w:right="120"/>
        <w:rPr>
          <w:rFonts w:ascii="Roboto-Medium" w:eastAsia="Times New Roman" w:hAnsi="Roboto-Medium" w:cs="Times New Roman"/>
          <w:color w:val="000000" w:themeColor="text1"/>
          <w:sz w:val="36"/>
          <w:szCs w:val="20"/>
          <w:lang w:eastAsia="ru-RU"/>
        </w:rPr>
      </w:pPr>
      <w:r w:rsidRPr="00204DCA">
        <w:rPr>
          <w:rFonts w:ascii="Roboto-Medium" w:eastAsia="Times New Roman" w:hAnsi="Roboto-Medium" w:cs="Times New Roman"/>
          <w:color w:val="000000" w:themeColor="text1"/>
          <w:sz w:val="36"/>
          <w:szCs w:val="20"/>
          <w:lang w:eastAsia="ru-RU"/>
        </w:rPr>
        <w:t xml:space="preserve">За ненадлежащую эксплуатацию общедомовых приборов учета может последовать административная </w:t>
      </w:r>
      <w:bookmarkStart w:id="0" w:name="_GoBack"/>
      <w:bookmarkEnd w:id="0"/>
      <w:r w:rsidRPr="00204DCA">
        <w:rPr>
          <w:rFonts w:ascii="Roboto-Medium" w:eastAsia="Times New Roman" w:hAnsi="Roboto-Medium" w:cs="Times New Roman"/>
          <w:color w:val="000000" w:themeColor="text1"/>
          <w:sz w:val="36"/>
          <w:szCs w:val="20"/>
          <w:lang w:eastAsia="ru-RU"/>
        </w:rPr>
        <w:t>ответственность</w:t>
      </w:r>
    </w:p>
    <w:p w:rsidR="00204DCA" w:rsidRPr="00204DCA" w:rsidRDefault="00204DCA" w:rsidP="00204DCA">
      <w:pPr>
        <w:spacing w:after="0" w:line="240" w:lineRule="auto"/>
        <w:ind w:right="120"/>
        <w:rPr>
          <w:rFonts w:ascii="XO Thames" w:eastAsia="Times New Roman" w:hAnsi="XO Thames" w:cs="Times New Roman"/>
          <w:color w:val="000000" w:themeColor="text1"/>
          <w:sz w:val="20"/>
          <w:szCs w:val="20"/>
          <w:shd w:val="clear" w:color="auto" w:fill="1E3685"/>
          <w:lang w:eastAsia="ru-RU"/>
        </w:rPr>
      </w:pPr>
    </w:p>
    <w:p w:rsidR="00204DCA" w:rsidRPr="00204DCA" w:rsidRDefault="00204DCA" w:rsidP="00204DCA">
      <w:pPr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4"/>
          <w:szCs w:val="20"/>
          <w:highlight w:val="white"/>
          <w:lang w:eastAsia="ru-RU"/>
        </w:rPr>
      </w:pPr>
      <w:r w:rsidRPr="00204DCA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Ненадлежащая эксплуатация общедомовых приборов учета может квалифицироваться как осуществление управляющей организацией</w:t>
      </w:r>
      <w:r w:rsidRPr="00204DCA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204DCA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предпринимательской деятельности по управлению многоквартирным жилым домом с нарушением лицензионных требований.</w:t>
      </w:r>
      <w:r w:rsidRPr="00204DCA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204DCA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Так, поскольку обеспечение надлежащей эксплуатации коллективных (общедомовых) приборов учета (далее - ОДПУ), включая осмотры, техническое обслуживание, поверку входит в перечень работ по содержанию общего имущества в многоквартирном доме, то невыполнение требования по надлежащей эксплуатации ОДПУ может повлечь административную ответственность в соответствии с частью 2 статьи 14.1.3 КоАП РФ.</w:t>
      </w:r>
      <w:r w:rsidRPr="00204DCA">
        <w:rPr>
          <w:rFonts w:ascii="XO Thames" w:eastAsia="Times New Roman" w:hAnsi="XO Thames" w:cs="Times New Roman"/>
          <w:color w:val="000000" w:themeColor="text1"/>
          <w:sz w:val="24"/>
          <w:szCs w:val="20"/>
          <w:lang w:eastAsia="ru-RU"/>
        </w:rPr>
        <w:br/>
      </w:r>
      <w:r w:rsidRPr="00204DCA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eastAsia="ru-RU"/>
        </w:rPr>
        <w:t>Санкцией ч. 2 ст. 14.1.3 КоАП РФ предусмотрено наказание в виде административного штрафа на должностных лиц в размере от 50 тыс. до 100 тыс. рублей или дисквалификацию на срок до трех лет; на юридических лиц - от 250 тыс. до 300 тыс. рублей.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64"/>
    <w:rsid w:val="00204DCA"/>
    <w:rsid w:val="00616A64"/>
    <w:rsid w:val="007D13AE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2026-03-20T11:24:00Z</dcterms:created>
  <dcterms:modified xsi:type="dcterms:W3CDTF">2026-03-20T11:24:00Z</dcterms:modified>
</cp:coreProperties>
</file>